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D9DD9"/>
    <w:p w14:paraId="557FB05D"/>
    <w:p w14:paraId="644BED8B"/>
    <w:p w14:paraId="672C7B9C"/>
    <w:p w14:paraId="61BC2727"/>
    <w:p w14:paraId="2300224B">
      <w:pPr>
        <w:jc w:val="center"/>
      </w:pPr>
      <w:r>
        <w:rPr>
          <w:rFonts w:ascii="Times New Roman" w:hAnsi="Times New Roman" w:eastAsia="黑体"/>
          <w:b w:val="0"/>
          <w:color w:val="1F3A5F"/>
          <w:sz w:val="60"/>
        </w:rPr>
        <w:t>电 梯 应 急 哨 兵</w:t>
      </w:r>
    </w:p>
    <w:p w14:paraId="7903C3CA">
      <w:pPr>
        <w:spacing w:before="320"/>
        <w:jc w:val="center"/>
      </w:pPr>
      <w:r>
        <w:rPr>
          <w:rFonts w:ascii="Times New Roman" w:hAnsi="Times New Roman" w:eastAsia="黑体"/>
          <w:b w:val="0"/>
          <w:sz w:val="30"/>
        </w:rPr>
        <w:t>依托城市安全哨兵体系</w:t>
      </w:r>
    </w:p>
    <w:p w14:paraId="3B190EEE">
      <w:pPr>
        <w:jc w:val="center"/>
      </w:pPr>
      <w:r>
        <w:rPr>
          <w:rFonts w:ascii="Times New Roman" w:hAnsi="Times New Roman" w:eastAsia="黑体"/>
          <w:b w:val="0"/>
          <w:sz w:val="30"/>
        </w:rPr>
        <w:t>完善基层最小应急单元电梯末端应急处置能力</w:t>
      </w:r>
    </w:p>
    <w:p w14:paraId="33731967">
      <w:pPr>
        <w:spacing w:before="600"/>
        <w:jc w:val="center"/>
      </w:pPr>
      <w:r>
        <w:rPr>
          <w:rFonts w:ascii="Times New Roman" w:hAnsi="Times New Roman" w:eastAsia="楷体"/>
          <w:b w:val="0"/>
          <w:sz w:val="36"/>
        </w:rPr>
        <w:t>通 用 建 设 方 案</w:t>
      </w:r>
    </w:p>
    <w:p w14:paraId="2B5B8C13"/>
    <w:p w14:paraId="2EBE2564"/>
    <w:p w14:paraId="1BDB1469"/>
    <w:p w14:paraId="22503B84"/>
    <w:p w14:paraId="291B773A"/>
    <w:p w14:paraId="30E9170D"/>
    <w:p w14:paraId="51A3CEFB">
      <w:pPr>
        <w:jc w:val="center"/>
      </w:pPr>
      <w:r>
        <w:rPr>
          <w:rFonts w:ascii="Times New Roman" w:hAnsi="Times New Roman" w:eastAsia="楷体"/>
          <w:b w:val="0"/>
          <w:sz w:val="26"/>
        </w:rPr>
        <w:t>（ 通  用  版  ·  V1.0 ）</w:t>
      </w:r>
    </w:p>
    <w:p w14:paraId="1C531C8F"/>
    <w:p w14:paraId="5F8FFE8B"/>
    <w:p w14:paraId="5868A869"/>
    <w:p w14:paraId="4EF5516D">
      <w:pPr>
        <w:jc w:val="center"/>
        <w:rPr>
          <w:rFonts w:hint="eastAsia"/>
          <w:b w:val="0"/>
          <w:sz w:val="24"/>
          <w:lang w:val="en-US" w:eastAsia="zh-CN"/>
        </w:rPr>
      </w:pPr>
      <w:r>
        <w:rPr>
          <w:rFonts w:ascii="Times New Roman" w:hAnsi="Times New Roman" w:eastAsia="宋体"/>
          <w:b w:val="0"/>
          <w:sz w:val="24"/>
        </w:rPr>
        <w:t>编制单位：</w:t>
      </w:r>
      <w:r>
        <w:rPr>
          <w:rFonts w:hint="eastAsia"/>
          <w:b w:val="0"/>
          <w:sz w:val="24"/>
          <w:lang w:val="en-US" w:eastAsia="zh-CN"/>
        </w:rPr>
        <w:t>江苏鸿山鸿锦物联技术有限公司</w:t>
      </w:r>
    </w:p>
    <w:p w14:paraId="11F7AA28">
      <w:pPr>
        <w:jc w:val="center"/>
      </w:pPr>
      <w:r>
        <w:rPr>
          <w:rFonts w:ascii="Times New Roman" w:hAnsi="Times New Roman" w:eastAsia="宋体"/>
          <w:b w:val="0"/>
          <w:sz w:val="24"/>
        </w:rPr>
        <w:t>编制日期：</w:t>
      </w:r>
      <w:r>
        <w:rPr>
          <w:rFonts w:hint="eastAsia"/>
          <w:b w:val="0"/>
          <w:sz w:val="24"/>
          <w:lang w:val="en-US" w:eastAsia="zh-CN"/>
        </w:rPr>
        <w:t>2026</w:t>
      </w:r>
      <w:r>
        <w:rPr>
          <w:rFonts w:ascii="Times New Roman" w:hAnsi="Times New Roman" w:eastAsia="宋体"/>
          <w:b w:val="0"/>
          <w:sz w:val="24"/>
        </w:rPr>
        <w:t>年</w:t>
      </w:r>
      <w:r>
        <w:rPr>
          <w:rFonts w:hint="eastAsia"/>
          <w:b w:val="0"/>
          <w:sz w:val="24"/>
          <w:lang w:val="en-US" w:eastAsia="zh-CN"/>
        </w:rPr>
        <w:t>2</w:t>
      </w:r>
      <w:r>
        <w:rPr>
          <w:rFonts w:ascii="Times New Roman" w:hAnsi="Times New Roman" w:eastAsia="宋体"/>
          <w:b w:val="0"/>
          <w:sz w:val="24"/>
        </w:rPr>
        <w:t>月</w:t>
      </w:r>
    </w:p>
    <w:p w14:paraId="02DD3B70">
      <w:r>
        <w:br w:type="page"/>
      </w:r>
      <w:bookmarkStart w:id="0" w:name="_GoBack"/>
      <w:bookmarkEnd w:id="0"/>
    </w:p>
    <w:p w14:paraId="366237C2">
      <w:pPr>
        <w:spacing w:before="360" w:after="200" w:line="360" w:lineRule="auto"/>
      </w:pPr>
      <w:r>
        <w:rPr>
          <w:rFonts w:ascii="Times New Roman" w:hAnsi="Times New Roman" w:eastAsia="黑体"/>
          <w:b w:val="0"/>
          <w:color w:val="1F3A5F"/>
          <w:sz w:val="32"/>
        </w:rPr>
        <w:t>方案摘要</w:t>
      </w:r>
    </w:p>
    <w:p w14:paraId="67C28BC1">
      <w:pPr>
        <w:spacing w:before="0" w:after="120" w:line="360" w:lineRule="auto"/>
        <w:ind w:firstLine="480"/>
      </w:pPr>
      <w:r>
        <w:rPr>
          <w:rFonts w:ascii="Times New Roman" w:hAnsi="Times New Roman" w:eastAsia="宋体"/>
          <w:b w:val="0"/>
          <w:sz w:val="24"/>
        </w:rPr>
        <w:t>本方案提出一种可在全国范围通用复制的电梯安全应急处置建设模式：以既有电梯轿厢视频监控为改造基础，通过前端设备替换与算法升级，将沉睡的"事后录像点位"激活为具备主动感知、自动报警、视频核警、远程处置能力的城市安全哨点；向上接入城市安全哨兵体系统一调度，向下嵌入基层最小应急单元响应机制，形成"1分钟核警、3分钟到场、30分钟闭环"的电梯末端应急处置能力。</w:t>
      </w:r>
    </w:p>
    <w:p w14:paraId="482BABA5">
      <w:pPr>
        <w:spacing w:before="0" w:after="120" w:line="360" w:lineRule="auto"/>
        <w:ind w:firstLine="480"/>
      </w:pPr>
      <w:r>
        <w:rPr>
          <w:rFonts w:ascii="Times New Roman" w:hAnsi="Times New Roman" w:eastAsia="宋体"/>
          <w:b w:val="0"/>
          <w:sz w:val="24"/>
        </w:rPr>
        <w:t>方案严格聚焦安全应急主线，不涉及电梯维保商业模式、维保绩效评价、广告运营等非安全内容。全部功能设计均围绕一个目标展开：把电梯场景下突发事件从发生到处置完毕的时间压到最短，把处置过程完整留痕。</w:t>
      </w:r>
    </w:p>
    <w:p w14:paraId="7F4E47AB">
      <w:pPr>
        <w:spacing w:before="0" w:after="120" w:line="360" w:lineRule="auto"/>
        <w:ind w:firstLine="480"/>
      </w:pPr>
      <w:r>
        <w:rPr>
          <w:rFonts w:ascii="Times New Roman" w:hAnsi="Times New Roman" w:eastAsia="宋体"/>
          <w:b w:val="0"/>
          <w:sz w:val="24"/>
        </w:rPr>
        <w:t>本方案面向全国各类在用乘客电梯，不限定特定行政区域、特定电梯品牌与特定建筑类型，可按住宅小区、商务楼宇、公共建筑、工业园区等不同场景分级配置、分批实施。</w:t>
      </w:r>
    </w:p>
    <w:p w14:paraId="33D40870">
      <w:pPr>
        <w:spacing w:before="360" w:after="200" w:line="360" w:lineRule="auto"/>
      </w:pPr>
      <w:r>
        <w:rPr>
          <w:rFonts w:ascii="Times New Roman" w:hAnsi="Times New Roman" w:eastAsia="黑体"/>
          <w:b w:val="0"/>
          <w:color w:val="1F3A5F"/>
          <w:sz w:val="32"/>
        </w:rPr>
        <w:t>一、方案定位</w:t>
      </w:r>
    </w:p>
    <w:p w14:paraId="4F492AB7">
      <w:pPr>
        <w:spacing w:before="240" w:after="120" w:line="360" w:lineRule="auto"/>
      </w:pPr>
      <w:r>
        <w:rPr>
          <w:rFonts w:ascii="Times New Roman" w:hAnsi="Times New Roman" w:eastAsia="黑体"/>
          <w:b w:val="0"/>
          <w:color w:val="1F3A5F"/>
          <w:sz w:val="28"/>
        </w:rPr>
        <w:t>1.1 一句话定位</w:t>
      </w:r>
    </w:p>
    <w:p w14:paraId="27924C5A">
      <w:pPr>
        <w:spacing w:before="0" w:after="120" w:line="360" w:lineRule="auto"/>
        <w:ind w:firstLine="480"/>
      </w:pPr>
      <w:r>
        <w:rPr>
          <w:rFonts w:ascii="Times New Roman" w:hAnsi="Times New Roman" w:eastAsia="宋体"/>
          <w:b w:val="0"/>
          <w:sz w:val="24"/>
        </w:rPr>
        <w:t>把每一台电梯轿厢，改造成城市安全哨兵体系中一个"看得见、叫得应、跑得快"的固定哨点，为基层最小应急单元补齐电梯场景的末端应急处置能力。</w:t>
      </w:r>
    </w:p>
    <w:p w14:paraId="2B80BECB">
      <w:pPr>
        <w:spacing w:before="240" w:after="120" w:line="360" w:lineRule="auto"/>
      </w:pPr>
      <w:r>
        <w:rPr>
          <w:rFonts w:ascii="Times New Roman" w:hAnsi="Times New Roman" w:eastAsia="黑体"/>
          <w:b w:val="0"/>
          <w:color w:val="1F3A5F"/>
          <w:sz w:val="28"/>
        </w:rPr>
        <w:t>1.2 本方案只解决一件事</w:t>
      </w:r>
    </w:p>
    <w:p w14:paraId="3E0B37E4">
      <w:pPr>
        <w:spacing w:before="0" w:after="120" w:line="360" w:lineRule="auto"/>
        <w:ind w:firstLine="480"/>
      </w:pPr>
      <w:r>
        <w:rPr>
          <w:rFonts w:ascii="Times New Roman" w:hAnsi="Times New Roman" w:eastAsia="宋体"/>
          <w:b w:val="0"/>
          <w:sz w:val="24"/>
        </w:rPr>
        <w:t>电梯场景下安全事件从"发生"到"处置完毕"的全链路时间压缩与过程留痕。具体覆盖四类事件：</w:t>
      </w:r>
    </w:p>
    <w:p w14:paraId="5F59FE74">
      <w:pPr>
        <w:spacing w:after="80" w:line="360" w:lineRule="auto"/>
        <w:ind w:left="480" w:firstLine="0"/>
      </w:pPr>
      <w:r>
        <w:rPr>
          <w:rFonts w:ascii="Times New Roman" w:hAnsi="Times New Roman" w:eastAsia="宋体"/>
          <w:b w:val="0"/>
          <w:sz w:val="24"/>
        </w:rPr>
        <w:t>— 电梯困人事件（本方案核心场景）；</w:t>
      </w:r>
    </w:p>
    <w:p w14:paraId="0484A00A">
      <w:pPr>
        <w:spacing w:after="80" w:line="360" w:lineRule="auto"/>
        <w:ind w:left="480" w:firstLine="0"/>
      </w:pPr>
      <w:r>
        <w:rPr>
          <w:rFonts w:ascii="Times New Roman" w:hAnsi="Times New Roman" w:eastAsia="宋体"/>
          <w:b w:val="0"/>
          <w:sz w:val="24"/>
        </w:rPr>
        <w:t>— 轿厢内人员突发疾病、跌倒、受伤等健康急症事件；</w:t>
      </w:r>
    </w:p>
    <w:p w14:paraId="3B4FF051">
      <w:pPr>
        <w:spacing w:after="80" w:line="360" w:lineRule="auto"/>
        <w:ind w:left="480" w:firstLine="0"/>
      </w:pPr>
      <w:r>
        <w:rPr>
          <w:rFonts w:ascii="Times New Roman" w:hAnsi="Times New Roman" w:eastAsia="宋体"/>
          <w:b w:val="0"/>
          <w:sz w:val="24"/>
        </w:rPr>
        <w:t>— 锂电池电动自行车、蓄电池入梯带来的火灾风险事件；</w:t>
      </w:r>
    </w:p>
    <w:p w14:paraId="35F2D1EB">
      <w:pPr>
        <w:spacing w:after="80" w:line="360" w:lineRule="auto"/>
        <w:ind w:left="480" w:firstLine="0"/>
      </w:pPr>
      <w:r>
        <w:rPr>
          <w:rFonts w:ascii="Times New Roman" w:hAnsi="Times New Roman" w:eastAsia="宋体"/>
          <w:b w:val="0"/>
          <w:sz w:val="24"/>
        </w:rPr>
        <w:t>— 轿厢内发生的侵害、滋事等治安类突发事件。</w:t>
      </w:r>
    </w:p>
    <w:p w14:paraId="3E06CF65">
      <w:pPr>
        <w:spacing w:before="0" w:after="120" w:line="360" w:lineRule="auto"/>
        <w:ind w:firstLine="480"/>
      </w:pPr>
      <w:r>
        <w:rPr>
          <w:rFonts w:ascii="Times New Roman" w:hAnsi="Times New Roman" w:eastAsia="宋体"/>
          <w:b w:val="0"/>
          <w:sz w:val="24"/>
        </w:rPr>
        <w:t>凡与"末端应急处置能力"无直接关系的功能，一律不纳入本方案主线，包括但不限于：维保成本优化、按需维保推行、维保企业绩效考核、电梯广告与商业信息投放、日常管理轮巡等。上述内容如有需要，可作为独立议题另行讨论，不与安全应急建设捆绑。</w:t>
      </w:r>
    </w:p>
    <w:p w14:paraId="4DC8CAED">
      <w:pPr>
        <w:spacing w:before="240" w:after="120" w:line="360" w:lineRule="auto"/>
      </w:pPr>
      <w:r>
        <w:rPr>
          <w:rFonts w:ascii="Times New Roman" w:hAnsi="Times New Roman" w:eastAsia="黑体"/>
          <w:b w:val="0"/>
          <w:color w:val="1F3A5F"/>
          <w:sz w:val="28"/>
        </w:rPr>
        <w:t>1.3 与常规电梯物联网方案的区别</w:t>
      </w:r>
    </w:p>
    <w:p w14:paraId="4DB1811C">
      <w:pPr>
        <w:spacing w:before="0" w:after="120" w:line="360" w:lineRule="auto"/>
        <w:ind w:firstLine="480"/>
      </w:pPr>
      <w:r>
        <w:rPr>
          <w:rFonts w:ascii="Times New Roman" w:hAnsi="Times New Roman" w:eastAsia="宋体"/>
          <w:b w:val="0"/>
          <w:sz w:val="24"/>
        </w:rPr>
        <w:t>市场上既有的电梯物联网方案，主体是面向电梯设备管理与维保效率的行业系统。本方案与之属于两种不同性质的建设，核心差异如下：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2962"/>
        <w:gridCol w:w="4076"/>
      </w:tblGrid>
      <w:tr w14:paraId="2286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466" w:type="dxa"/>
            <w:shd w:val="clear" w:color="auto" w:fill="1F3A5F"/>
            <w:vAlign w:val="center"/>
          </w:tcPr>
          <w:p w14:paraId="31B2B789">
            <w:pPr>
              <w:spacing w:before="40" w:after="40" w:line="276" w:lineRule="auto"/>
              <w:jc w:val="center"/>
            </w:pPr>
            <w:r>
              <w:rPr>
                <w:rFonts w:ascii="Times New Roman" w:hAnsi="Times New Roman" w:eastAsia="黑体"/>
                <w:b/>
                <w:color w:val="FFFFFF"/>
                <w:sz w:val="21"/>
              </w:rPr>
              <w:t>对比维度</w:t>
            </w:r>
          </w:p>
        </w:tc>
        <w:tc>
          <w:tcPr>
            <w:tcW w:w="2962" w:type="dxa"/>
            <w:shd w:val="clear" w:color="auto" w:fill="1F3A5F"/>
            <w:vAlign w:val="center"/>
          </w:tcPr>
          <w:p w14:paraId="1BB386BB">
            <w:pPr>
              <w:spacing w:before="40" w:after="40" w:line="276" w:lineRule="auto"/>
              <w:jc w:val="center"/>
            </w:pPr>
            <w:r>
              <w:rPr>
                <w:rFonts w:ascii="Times New Roman" w:hAnsi="Times New Roman" w:eastAsia="黑体"/>
                <w:b/>
                <w:color w:val="FFFFFF"/>
                <w:sz w:val="21"/>
              </w:rPr>
              <w:t>常规电梯物联网方案</w:t>
            </w:r>
          </w:p>
        </w:tc>
        <w:tc>
          <w:tcPr>
            <w:tcW w:w="4076" w:type="dxa"/>
            <w:shd w:val="clear" w:color="auto" w:fill="1F3A5F"/>
            <w:vAlign w:val="center"/>
          </w:tcPr>
          <w:p w14:paraId="2EDAE81F">
            <w:pPr>
              <w:spacing w:before="40" w:after="40" w:line="276" w:lineRule="auto"/>
              <w:jc w:val="center"/>
            </w:pPr>
            <w:r>
              <w:rPr>
                <w:rFonts w:ascii="Times New Roman" w:hAnsi="Times New Roman" w:eastAsia="黑体"/>
                <w:b/>
                <w:color w:val="FFFFFF"/>
                <w:sz w:val="21"/>
              </w:rPr>
              <w:t>本方案（电梯应急哨兵）</w:t>
            </w:r>
          </w:p>
        </w:tc>
      </w:tr>
      <w:tr w14:paraId="35D4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1BE45E1E">
            <w:pPr>
              <w:spacing w:before="40" w:after="40" w:line="276" w:lineRule="auto"/>
              <w:jc w:val="center"/>
            </w:pPr>
            <w:r>
              <w:rPr>
                <w:rFonts w:ascii="Times New Roman" w:hAnsi="Times New Roman" w:eastAsia="宋体"/>
                <w:b w:val="0"/>
                <w:sz w:val="21"/>
              </w:rPr>
              <w:t>建设目标</w:t>
            </w:r>
          </w:p>
        </w:tc>
        <w:tc>
          <w:tcPr>
            <w:tcW w:w="2962" w:type="dxa"/>
            <w:vAlign w:val="center"/>
          </w:tcPr>
          <w:p w14:paraId="1906D531">
            <w:pPr>
              <w:spacing w:before="40" w:after="40" w:line="276" w:lineRule="auto"/>
              <w:jc w:val="center"/>
            </w:pPr>
            <w:r>
              <w:rPr>
                <w:rFonts w:ascii="Times New Roman" w:hAnsi="Times New Roman" w:eastAsia="宋体"/>
                <w:b w:val="0"/>
                <w:sz w:val="21"/>
              </w:rPr>
              <w:t>提升电梯设备管理与维保效率</w:t>
            </w:r>
          </w:p>
        </w:tc>
        <w:tc>
          <w:tcPr>
            <w:tcW w:w="4076" w:type="dxa"/>
            <w:vAlign w:val="center"/>
          </w:tcPr>
          <w:p w14:paraId="7EBC6BB0">
            <w:pPr>
              <w:spacing w:before="40" w:after="40" w:line="276" w:lineRule="auto"/>
              <w:jc w:val="center"/>
            </w:pPr>
            <w:r>
              <w:rPr>
                <w:rFonts w:ascii="Times New Roman" w:hAnsi="Times New Roman" w:eastAsia="宋体"/>
                <w:b w:val="0"/>
                <w:sz w:val="21"/>
              </w:rPr>
              <w:t>提升突发事件末端应急处置能力</w:t>
            </w:r>
          </w:p>
        </w:tc>
      </w:tr>
      <w:tr w14:paraId="1B0B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575408EC">
            <w:pPr>
              <w:spacing w:before="40" w:after="40" w:line="276" w:lineRule="auto"/>
              <w:jc w:val="center"/>
            </w:pPr>
            <w:r>
              <w:rPr>
                <w:rFonts w:ascii="Times New Roman" w:hAnsi="Times New Roman" w:eastAsia="宋体"/>
                <w:b w:val="0"/>
                <w:sz w:val="21"/>
              </w:rPr>
              <w:t>服务对象</w:t>
            </w:r>
          </w:p>
        </w:tc>
        <w:tc>
          <w:tcPr>
            <w:tcW w:w="2962" w:type="dxa"/>
            <w:vAlign w:val="center"/>
          </w:tcPr>
          <w:p w14:paraId="50D0389D">
            <w:pPr>
              <w:spacing w:before="40" w:after="40" w:line="276" w:lineRule="auto"/>
              <w:jc w:val="center"/>
            </w:pPr>
            <w:r>
              <w:rPr>
                <w:rFonts w:ascii="Times New Roman" w:hAnsi="Times New Roman" w:eastAsia="宋体"/>
                <w:b w:val="0"/>
                <w:sz w:val="21"/>
              </w:rPr>
              <w:t>电梯使用单位、维保企业</w:t>
            </w:r>
          </w:p>
        </w:tc>
        <w:tc>
          <w:tcPr>
            <w:tcW w:w="4076" w:type="dxa"/>
            <w:vAlign w:val="center"/>
          </w:tcPr>
          <w:p w14:paraId="2E94AF6D">
            <w:pPr>
              <w:spacing w:before="40" w:after="40" w:line="276" w:lineRule="auto"/>
              <w:jc w:val="center"/>
            </w:pPr>
            <w:r>
              <w:rPr>
                <w:rFonts w:ascii="Times New Roman" w:hAnsi="Times New Roman" w:eastAsia="宋体"/>
                <w:b w:val="0"/>
                <w:sz w:val="21"/>
              </w:rPr>
              <w:t>基层政府、应急管理、公安、市场监管、社区</w:t>
            </w:r>
          </w:p>
        </w:tc>
      </w:tr>
      <w:tr w14:paraId="4049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11F2211D">
            <w:pPr>
              <w:spacing w:before="40" w:after="40" w:line="276" w:lineRule="auto"/>
              <w:jc w:val="center"/>
            </w:pPr>
            <w:r>
              <w:rPr>
                <w:rFonts w:ascii="Times New Roman" w:hAnsi="Times New Roman" w:eastAsia="宋体"/>
                <w:b w:val="0"/>
                <w:sz w:val="21"/>
              </w:rPr>
              <w:t>核心指标</w:t>
            </w:r>
          </w:p>
        </w:tc>
        <w:tc>
          <w:tcPr>
            <w:tcW w:w="2962" w:type="dxa"/>
            <w:vAlign w:val="center"/>
          </w:tcPr>
          <w:p w14:paraId="19AA3399">
            <w:pPr>
              <w:spacing w:before="40" w:after="40" w:line="276" w:lineRule="auto"/>
              <w:jc w:val="center"/>
            </w:pPr>
            <w:r>
              <w:rPr>
                <w:rFonts w:ascii="Times New Roman" w:hAnsi="Times New Roman" w:eastAsia="宋体"/>
                <w:b w:val="0"/>
                <w:sz w:val="21"/>
              </w:rPr>
              <w:t>联网率、故障率、维保成本</w:t>
            </w:r>
          </w:p>
        </w:tc>
        <w:tc>
          <w:tcPr>
            <w:tcW w:w="4076" w:type="dxa"/>
            <w:vAlign w:val="center"/>
          </w:tcPr>
          <w:p w14:paraId="3994F9BB">
            <w:pPr>
              <w:spacing w:before="40" w:after="40" w:line="276" w:lineRule="auto"/>
              <w:jc w:val="center"/>
            </w:pPr>
            <w:r>
              <w:rPr>
                <w:rFonts w:ascii="Times New Roman" w:hAnsi="Times New Roman" w:eastAsia="宋体"/>
                <w:b w:val="0"/>
                <w:sz w:val="21"/>
              </w:rPr>
              <w:t>发现时间、核警时间、到场时间、闭环率</w:t>
            </w:r>
          </w:p>
        </w:tc>
      </w:tr>
      <w:tr w14:paraId="0875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10427175">
            <w:pPr>
              <w:spacing w:before="40" w:after="40" w:line="276" w:lineRule="auto"/>
              <w:jc w:val="center"/>
            </w:pPr>
            <w:r>
              <w:rPr>
                <w:rFonts w:ascii="Times New Roman" w:hAnsi="Times New Roman" w:eastAsia="宋体"/>
                <w:b w:val="0"/>
                <w:sz w:val="21"/>
              </w:rPr>
              <w:t>报警机制</w:t>
            </w:r>
          </w:p>
        </w:tc>
        <w:tc>
          <w:tcPr>
            <w:tcW w:w="2962" w:type="dxa"/>
            <w:vAlign w:val="center"/>
          </w:tcPr>
          <w:p w14:paraId="59AE8F1A">
            <w:pPr>
              <w:spacing w:before="40" w:after="40" w:line="276" w:lineRule="auto"/>
              <w:jc w:val="center"/>
            </w:pPr>
            <w:r>
              <w:rPr>
                <w:rFonts w:ascii="Times New Roman" w:hAnsi="Times New Roman" w:eastAsia="宋体"/>
                <w:b w:val="0"/>
                <w:sz w:val="21"/>
              </w:rPr>
              <w:t>被动接警，凭语音判断警情</w:t>
            </w:r>
          </w:p>
        </w:tc>
        <w:tc>
          <w:tcPr>
            <w:tcW w:w="4076" w:type="dxa"/>
            <w:vAlign w:val="center"/>
          </w:tcPr>
          <w:p w14:paraId="3698EA7A">
            <w:pPr>
              <w:spacing w:before="40" w:after="40" w:line="276" w:lineRule="auto"/>
              <w:jc w:val="center"/>
            </w:pPr>
            <w:r>
              <w:rPr>
                <w:rFonts w:ascii="Times New Roman" w:hAnsi="Times New Roman" w:eastAsia="宋体"/>
                <w:b w:val="0"/>
                <w:sz w:val="21"/>
              </w:rPr>
              <w:t>多源触发＋视频核警＋分级派单</w:t>
            </w:r>
          </w:p>
        </w:tc>
      </w:tr>
      <w:tr w14:paraId="28B7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6C8C25E1">
            <w:pPr>
              <w:spacing w:before="40" w:after="40" w:line="276" w:lineRule="auto"/>
              <w:jc w:val="center"/>
            </w:pPr>
            <w:r>
              <w:rPr>
                <w:rFonts w:ascii="Times New Roman" w:hAnsi="Times New Roman" w:eastAsia="宋体"/>
                <w:b w:val="0"/>
                <w:sz w:val="21"/>
              </w:rPr>
              <w:t>体系归属</w:t>
            </w:r>
          </w:p>
        </w:tc>
        <w:tc>
          <w:tcPr>
            <w:tcW w:w="2962" w:type="dxa"/>
            <w:vAlign w:val="center"/>
          </w:tcPr>
          <w:p w14:paraId="018D9829">
            <w:pPr>
              <w:spacing w:before="40" w:after="40" w:line="276" w:lineRule="auto"/>
              <w:jc w:val="center"/>
            </w:pPr>
            <w:r>
              <w:rPr>
                <w:rFonts w:ascii="Times New Roman" w:hAnsi="Times New Roman" w:eastAsia="宋体"/>
                <w:b w:val="0"/>
                <w:sz w:val="21"/>
              </w:rPr>
              <w:t>行业管理信息系统</w:t>
            </w:r>
          </w:p>
        </w:tc>
        <w:tc>
          <w:tcPr>
            <w:tcW w:w="4076" w:type="dxa"/>
            <w:vAlign w:val="center"/>
          </w:tcPr>
          <w:p w14:paraId="6D4A1422">
            <w:pPr>
              <w:spacing w:before="40" w:after="40" w:line="276" w:lineRule="auto"/>
              <w:jc w:val="center"/>
            </w:pPr>
            <w:r>
              <w:rPr>
                <w:rFonts w:ascii="Times New Roman" w:hAnsi="Times New Roman" w:eastAsia="宋体"/>
                <w:b w:val="0"/>
                <w:sz w:val="21"/>
              </w:rPr>
              <w:t>城市安全哨兵体系的末端哨点</w:t>
            </w:r>
          </w:p>
        </w:tc>
      </w:tr>
      <w:tr w14:paraId="4101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6" w:type="dxa"/>
            <w:vAlign w:val="center"/>
          </w:tcPr>
          <w:p w14:paraId="44745E4B">
            <w:pPr>
              <w:spacing w:before="40" w:after="40" w:line="276" w:lineRule="auto"/>
              <w:jc w:val="center"/>
            </w:pPr>
            <w:r>
              <w:rPr>
                <w:rFonts w:ascii="Times New Roman" w:hAnsi="Times New Roman" w:eastAsia="宋体"/>
                <w:b w:val="0"/>
                <w:sz w:val="21"/>
              </w:rPr>
              <w:t>建设逻辑</w:t>
            </w:r>
          </w:p>
        </w:tc>
        <w:tc>
          <w:tcPr>
            <w:tcW w:w="2962" w:type="dxa"/>
            <w:vAlign w:val="center"/>
          </w:tcPr>
          <w:p w14:paraId="732D96D6">
            <w:pPr>
              <w:spacing w:before="40" w:after="40" w:line="276" w:lineRule="auto"/>
              <w:jc w:val="center"/>
            </w:pPr>
            <w:r>
              <w:rPr>
                <w:rFonts w:ascii="Times New Roman" w:hAnsi="Times New Roman" w:eastAsia="宋体"/>
                <w:b w:val="0"/>
                <w:sz w:val="21"/>
              </w:rPr>
              <w:t>新建专网、部署专用设备</w:t>
            </w:r>
          </w:p>
        </w:tc>
        <w:tc>
          <w:tcPr>
            <w:tcW w:w="4076" w:type="dxa"/>
            <w:vAlign w:val="center"/>
          </w:tcPr>
          <w:p w14:paraId="34BA70E9">
            <w:pPr>
              <w:spacing w:before="40" w:after="40" w:line="276" w:lineRule="auto"/>
              <w:jc w:val="center"/>
            </w:pPr>
            <w:r>
              <w:rPr>
                <w:rFonts w:ascii="Times New Roman" w:hAnsi="Times New Roman" w:eastAsia="宋体"/>
                <w:b w:val="0"/>
                <w:sz w:val="21"/>
              </w:rPr>
              <w:t>存量监控激活、算法升级为主</w:t>
            </w:r>
          </w:p>
        </w:tc>
      </w:tr>
    </w:tbl>
    <w:p w14:paraId="06BFEE82">
      <w:pPr>
        <w:spacing w:after="0"/>
      </w:pPr>
    </w:p>
    <w:p w14:paraId="5E52C2F4">
      <w:pPr>
        <w:spacing w:before="360" w:after="200" w:line="360" w:lineRule="auto"/>
      </w:pPr>
      <w:r>
        <w:rPr>
          <w:rFonts w:ascii="Times New Roman" w:hAnsi="Times New Roman" w:eastAsia="黑体"/>
          <w:b w:val="0"/>
          <w:color w:val="1F3A5F"/>
          <w:sz w:val="32"/>
        </w:rPr>
        <w:t>二、建设背景</w:t>
      </w:r>
    </w:p>
    <w:p w14:paraId="6D817146">
      <w:pPr>
        <w:spacing w:before="240" w:after="120" w:line="360" w:lineRule="auto"/>
      </w:pPr>
      <w:r>
        <w:rPr>
          <w:rFonts w:ascii="Times New Roman" w:hAnsi="Times New Roman" w:eastAsia="黑体"/>
          <w:b w:val="0"/>
          <w:color w:val="1F3A5F"/>
          <w:sz w:val="28"/>
        </w:rPr>
        <w:t>2.1 电梯是城市中最高频、最封闭、最易失联的公共安全场景</w:t>
      </w:r>
    </w:p>
    <w:p w14:paraId="3F3C5080">
      <w:pPr>
        <w:spacing w:before="0" w:after="120" w:line="360" w:lineRule="auto"/>
        <w:ind w:firstLine="480"/>
      </w:pPr>
      <w:r>
        <w:rPr>
          <w:rFonts w:ascii="Times New Roman" w:hAnsi="Times New Roman" w:eastAsia="宋体"/>
          <w:b w:val="0"/>
          <w:sz w:val="24"/>
        </w:rPr>
        <w:t>电梯是当前城市中唯一一类同时具备"使用频次极高、空间完全封闭、故障即刻困人"三重属性的公共设施。乘客一旦被困，与外界的全部联系依赖轿厢内的紧急报警装置。而在实际运行中，这一环节长期存在"按了没人接、接了说不清、说清了找不到"的三重失灵，被困人员在密闭空间中的恐慌情绪进一步放大风险，老人、儿童、孕妇、残障人士等特殊群体尤为突出。</w:t>
      </w:r>
    </w:p>
    <w:p w14:paraId="362921E5">
      <w:pPr>
        <w:spacing w:before="0" w:after="120" w:line="360" w:lineRule="auto"/>
        <w:ind w:firstLine="480"/>
      </w:pPr>
      <w:r>
        <w:rPr>
          <w:rFonts w:ascii="Times New Roman" w:hAnsi="Times New Roman" w:eastAsia="宋体"/>
          <w:b w:val="0"/>
          <w:sz w:val="24"/>
        </w:rPr>
        <w:t>与此同时，电动自行车及锂电池入梯引发的火灾、乘客在轿厢内突发疾病无人知晓等次生风险，同样发生在这个无人值守的封闭空间内。电梯，事实上是基层应急体系覆盖最薄弱的末梢之一。</w:t>
      </w:r>
    </w:p>
    <w:p w14:paraId="3B2C88A4">
      <w:pPr>
        <w:spacing w:before="240" w:after="120" w:line="360" w:lineRule="auto"/>
      </w:pPr>
      <w:r>
        <w:rPr>
          <w:rFonts w:ascii="Times New Roman" w:hAnsi="Times New Roman" w:eastAsia="黑体"/>
          <w:b w:val="0"/>
          <w:color w:val="1F3A5F"/>
          <w:sz w:val="28"/>
        </w:rPr>
        <w:t>2.2 电梯末端应急处置的四个断点</w:t>
      </w:r>
    </w:p>
    <w:p w14:paraId="7CA75982">
      <w:pPr>
        <w:spacing w:before="160" w:after="80" w:line="360" w:lineRule="auto"/>
      </w:pPr>
      <w:r>
        <w:rPr>
          <w:rFonts w:ascii="Times New Roman" w:hAnsi="Times New Roman" w:eastAsia="黑体"/>
          <w:b/>
          <w:sz w:val="24"/>
        </w:rPr>
        <w:t>断点一：发现难——报警依赖被困人主动呼救</w:t>
      </w:r>
    </w:p>
    <w:p w14:paraId="3A0BFBD0">
      <w:pPr>
        <w:spacing w:before="0" w:after="120" w:line="360" w:lineRule="auto"/>
        <w:ind w:firstLine="480"/>
      </w:pPr>
      <w:r>
        <w:rPr>
          <w:rFonts w:ascii="Times New Roman" w:hAnsi="Times New Roman" w:eastAsia="宋体"/>
          <w:b w:val="0"/>
          <w:sz w:val="24"/>
        </w:rPr>
        <w:t>现行机制下，警情的产生完全依赖被困人员主动按下报警按钮并被人接听。老人不会用、儿童够不到、手机无信号、按钮无人应答等情况普遍存在。困人事件从发生到被外界知晓，时间完全不可控。</w:t>
      </w:r>
    </w:p>
    <w:p w14:paraId="19D12EB1">
      <w:pPr>
        <w:spacing w:before="160" w:after="80" w:line="360" w:lineRule="auto"/>
      </w:pPr>
      <w:r>
        <w:rPr>
          <w:rFonts w:ascii="Times New Roman" w:hAnsi="Times New Roman" w:eastAsia="黑体"/>
          <w:b/>
          <w:sz w:val="24"/>
        </w:rPr>
        <w:t>断点二：核警难——接警方看不见现场</w:t>
      </w:r>
    </w:p>
    <w:p w14:paraId="6666AE1A">
      <w:pPr>
        <w:spacing w:before="0" w:after="120" w:line="360" w:lineRule="auto"/>
        <w:ind w:firstLine="480"/>
      </w:pPr>
      <w:r>
        <w:rPr>
          <w:rFonts w:ascii="Times New Roman" w:hAnsi="Times New Roman" w:eastAsia="宋体"/>
          <w:b w:val="0"/>
          <w:sz w:val="24"/>
        </w:rPr>
        <w:t>传统接警仅靠语音沟通，无法确认是否真的困人、被困几人、有无老人小孩、是否伴随健康急症。既造成大量无效出警空跑，也可能对真实险情判断不足、响应降级。</w:t>
      </w:r>
    </w:p>
    <w:p w14:paraId="12868A40">
      <w:pPr>
        <w:spacing w:before="160" w:after="80" w:line="360" w:lineRule="auto"/>
      </w:pPr>
      <w:r>
        <w:rPr>
          <w:rFonts w:ascii="Times New Roman" w:hAnsi="Times New Roman" w:eastAsia="黑体"/>
          <w:b/>
          <w:sz w:val="24"/>
        </w:rPr>
        <w:t>断点三：到场难——派单缺少就近力量</w:t>
      </w:r>
    </w:p>
    <w:p w14:paraId="03D3F052">
      <w:pPr>
        <w:spacing w:before="0" w:after="120" w:line="360" w:lineRule="auto"/>
        <w:ind w:firstLine="480"/>
      </w:pPr>
      <w:r>
        <w:rPr>
          <w:rFonts w:ascii="Times New Roman" w:hAnsi="Times New Roman" w:eastAsia="宋体"/>
          <w:b w:val="0"/>
          <w:sz w:val="24"/>
        </w:rPr>
        <w:t>警情通常直接派给维保单位，而维保人员往往不在现场附近，路途耗时长。距离最近、本可在数分钟内到场安抚与先期处置的物业值班人员、社区网格员、保安队伍等基层力量，未被纳入统一调度。</w:t>
      </w:r>
    </w:p>
    <w:p w14:paraId="0D57CE78">
      <w:pPr>
        <w:spacing w:before="160" w:after="80" w:line="360" w:lineRule="auto"/>
      </w:pPr>
      <w:r>
        <w:rPr>
          <w:rFonts w:ascii="Times New Roman" w:hAnsi="Times New Roman" w:eastAsia="黑体"/>
          <w:b/>
          <w:sz w:val="24"/>
        </w:rPr>
        <w:t>断点四：追溯难——处置过程无完整证据</w:t>
      </w:r>
    </w:p>
    <w:p w14:paraId="4B79A3F5">
      <w:pPr>
        <w:spacing w:before="0" w:after="120" w:line="360" w:lineRule="auto"/>
        <w:ind w:firstLine="480"/>
      </w:pPr>
      <w:r>
        <w:rPr>
          <w:rFonts w:ascii="Times New Roman" w:hAnsi="Times New Roman" w:eastAsia="宋体"/>
          <w:b w:val="0"/>
          <w:sz w:val="24"/>
        </w:rPr>
        <w:t>处置全过程缺少统一记录，响应时间无法考核，事后责任无法界定，也难以形成风险数据沉淀，管理效能无从评价。</w:t>
      </w:r>
    </w:p>
    <w:p w14:paraId="509D3323">
      <w:pPr>
        <w:spacing w:before="240" w:after="120" w:line="360" w:lineRule="auto"/>
      </w:pPr>
      <w:r>
        <w:rPr>
          <w:rFonts w:ascii="Times New Roman" w:hAnsi="Times New Roman" w:eastAsia="黑体"/>
          <w:b w:val="0"/>
          <w:color w:val="1F3A5F"/>
          <w:sz w:val="28"/>
        </w:rPr>
        <w:t>2.3 一个被长期忽略的基础条件</w:t>
      </w:r>
    </w:p>
    <w:p w14:paraId="0CEAF4A5">
      <w:pPr>
        <w:spacing w:before="0" w:after="120" w:line="360" w:lineRule="auto"/>
        <w:ind w:firstLine="480"/>
      </w:pPr>
      <w:r>
        <w:rPr>
          <w:rFonts w:ascii="Times New Roman" w:hAnsi="Times New Roman" w:eastAsia="宋体"/>
          <w:b w:val="0"/>
          <w:sz w:val="24"/>
        </w:rPr>
        <w:t>全国绝大多数住宅小区、商务楼宇、公共建筑的电梯轿厢内，已经安装了视频监控，配套的传输网络与存储资源也已建成并稳定运行多年。但这批设备的功能定位普遍停留在"事后调取录像"，处于只录不看、只看不管的沉睡状态。</w:t>
      </w:r>
    </w:p>
    <w:p w14:paraId="54A59075">
      <w:pPr>
        <w:spacing w:before="0" w:after="120" w:line="360" w:lineRule="auto"/>
        <w:ind w:firstLine="480"/>
      </w:pPr>
      <w:r>
        <w:rPr>
          <w:rFonts w:ascii="Times New Roman" w:hAnsi="Times New Roman" w:eastAsia="宋体"/>
          <w:b w:val="0"/>
          <w:sz w:val="24"/>
        </w:rPr>
        <w:t>它们本身就是分布最广、密度最高、贴近群众最近的城市感知末梢，只是从未被真正激活。</w:t>
      </w:r>
    </w:p>
    <w:p w14:paraId="18A0D1F0">
      <w:pPr>
        <w:spacing w:before="0" w:after="120" w:line="360" w:lineRule="auto"/>
        <w:ind w:firstLine="480"/>
      </w:pPr>
      <w:r>
        <w:rPr>
          <w:rFonts w:ascii="Times New Roman" w:hAnsi="Times New Roman" w:eastAsia="宋体"/>
          <w:b w:val="0"/>
          <w:sz w:val="24"/>
        </w:rPr>
        <w:t>这构成了本方案最重要的基础条件：无需大规模新建网络基础设施，仅通过前端设备替换与算法升级，即可将存量监控点位改造为具备感知、研判、报警、对讲、联动能力的应急哨点。这一路径已在多地基层治理实践中得到验证——通过对既有摄像头实施利旧改造、仅升级算法即实现智能识别与自动预警，已成为基层安全治理降本增效的成熟做法。</w:t>
      </w:r>
    </w:p>
    <w:p w14:paraId="6E856B23">
      <w:pPr>
        <w:spacing w:before="240" w:after="120" w:line="360" w:lineRule="auto"/>
      </w:pPr>
      <w:r>
        <w:rPr>
          <w:rFonts w:ascii="Times New Roman" w:hAnsi="Times New Roman" w:eastAsia="黑体"/>
          <w:b w:val="0"/>
          <w:color w:val="1F3A5F"/>
          <w:sz w:val="28"/>
        </w:rPr>
        <w:t>2.4 政策依据</w:t>
      </w:r>
    </w:p>
    <w:p w14:paraId="6D4574CC">
      <w:pPr>
        <w:spacing w:before="0" w:after="120" w:line="360" w:lineRule="auto"/>
        <w:ind w:firstLine="480"/>
      </w:pPr>
      <w:r>
        <w:rPr>
          <w:rFonts w:ascii="Times New Roman" w:hAnsi="Times New Roman" w:eastAsia="宋体"/>
          <w:b w:val="0"/>
          <w:sz w:val="24"/>
        </w:rPr>
        <w:t>本方案的建设方向与国家现行政策要求高度契合，主要依据如下：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3480"/>
        <w:gridCol w:w="4252"/>
      </w:tblGrid>
      <w:tr w14:paraId="1CD4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772" w:type="dxa"/>
            <w:shd w:val="clear" w:color="auto" w:fill="1F3A5F"/>
            <w:vAlign w:val="center"/>
          </w:tcPr>
          <w:p w14:paraId="026F697D">
            <w:pPr>
              <w:spacing w:before="40" w:after="40" w:line="276" w:lineRule="auto"/>
              <w:jc w:val="center"/>
            </w:pPr>
            <w:r>
              <w:rPr>
                <w:rFonts w:ascii="Times New Roman" w:hAnsi="Times New Roman" w:eastAsia="黑体"/>
                <w:b/>
                <w:color w:val="FFFFFF"/>
                <w:sz w:val="21"/>
              </w:rPr>
              <w:t>序号</w:t>
            </w:r>
          </w:p>
        </w:tc>
        <w:tc>
          <w:tcPr>
            <w:tcW w:w="3480" w:type="dxa"/>
            <w:shd w:val="clear" w:color="auto" w:fill="1F3A5F"/>
            <w:vAlign w:val="center"/>
          </w:tcPr>
          <w:p w14:paraId="4545FC01">
            <w:pPr>
              <w:spacing w:before="40" w:after="40" w:line="276" w:lineRule="auto"/>
              <w:jc w:val="center"/>
            </w:pPr>
            <w:r>
              <w:rPr>
                <w:rFonts w:ascii="Times New Roman" w:hAnsi="Times New Roman" w:eastAsia="黑体"/>
                <w:b/>
                <w:color w:val="FFFFFF"/>
                <w:sz w:val="21"/>
              </w:rPr>
              <w:t>政策／法规／标准</w:t>
            </w:r>
          </w:p>
        </w:tc>
        <w:tc>
          <w:tcPr>
            <w:tcW w:w="4252" w:type="dxa"/>
            <w:shd w:val="clear" w:color="auto" w:fill="1F3A5F"/>
            <w:vAlign w:val="center"/>
          </w:tcPr>
          <w:p w14:paraId="0A9BA3F5">
            <w:pPr>
              <w:spacing w:before="40" w:after="40" w:line="276" w:lineRule="auto"/>
              <w:jc w:val="center"/>
            </w:pPr>
            <w:r>
              <w:rPr>
                <w:rFonts w:ascii="Times New Roman" w:hAnsi="Times New Roman" w:eastAsia="黑体"/>
                <w:b/>
                <w:color w:val="FFFFFF"/>
                <w:sz w:val="21"/>
              </w:rPr>
              <w:t>与本方案的对应关系</w:t>
            </w:r>
          </w:p>
        </w:tc>
      </w:tr>
      <w:tr w14:paraId="539B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0FF7A417">
            <w:pPr>
              <w:spacing w:before="40" w:after="40" w:line="276" w:lineRule="auto"/>
              <w:jc w:val="center"/>
            </w:pPr>
            <w:r>
              <w:rPr>
                <w:rFonts w:ascii="Times New Roman" w:hAnsi="Times New Roman" w:eastAsia="宋体"/>
                <w:b w:val="0"/>
                <w:sz w:val="21"/>
              </w:rPr>
              <w:t>1</w:t>
            </w:r>
          </w:p>
        </w:tc>
        <w:tc>
          <w:tcPr>
            <w:tcW w:w="3480" w:type="dxa"/>
            <w:vAlign w:val="center"/>
          </w:tcPr>
          <w:p w14:paraId="5A8823AC">
            <w:pPr>
              <w:spacing w:before="40" w:after="40" w:line="276" w:lineRule="auto"/>
              <w:jc w:val="center"/>
            </w:pPr>
            <w:r>
              <w:rPr>
                <w:rFonts w:ascii="Times New Roman" w:hAnsi="Times New Roman" w:eastAsia="宋体"/>
                <w:b w:val="0"/>
                <w:sz w:val="21"/>
              </w:rPr>
              <w:t>《中华人民共和国特种设备安全法》</w:t>
            </w:r>
          </w:p>
        </w:tc>
        <w:tc>
          <w:tcPr>
            <w:tcW w:w="4252" w:type="dxa"/>
            <w:vAlign w:val="center"/>
          </w:tcPr>
          <w:p w14:paraId="23E00B09">
            <w:pPr>
              <w:spacing w:before="40" w:after="40" w:line="276" w:lineRule="auto"/>
              <w:jc w:val="center"/>
            </w:pPr>
            <w:r>
              <w:rPr>
                <w:rFonts w:ascii="Times New Roman" w:hAnsi="Times New Roman" w:eastAsia="宋体"/>
                <w:b w:val="0"/>
                <w:sz w:val="21"/>
              </w:rPr>
              <w:t>明确电梯使用单位应制定应急预案、保障困人救援；本方案为该义务提供技术落实手段</w:t>
            </w:r>
          </w:p>
        </w:tc>
      </w:tr>
      <w:tr w14:paraId="00B3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1B7895C9">
            <w:pPr>
              <w:spacing w:before="40" w:after="40" w:line="276" w:lineRule="auto"/>
              <w:jc w:val="center"/>
            </w:pPr>
            <w:r>
              <w:rPr>
                <w:rFonts w:ascii="Times New Roman" w:hAnsi="Times New Roman" w:eastAsia="宋体"/>
                <w:b w:val="0"/>
                <w:sz w:val="21"/>
              </w:rPr>
              <w:t>2</w:t>
            </w:r>
          </w:p>
        </w:tc>
        <w:tc>
          <w:tcPr>
            <w:tcW w:w="3480" w:type="dxa"/>
            <w:vAlign w:val="center"/>
          </w:tcPr>
          <w:p w14:paraId="73DAE28E">
            <w:pPr>
              <w:spacing w:before="40" w:after="40" w:line="276" w:lineRule="auto"/>
              <w:jc w:val="center"/>
            </w:pPr>
            <w:r>
              <w:rPr>
                <w:rFonts w:ascii="Times New Roman" w:hAnsi="Times New Roman" w:eastAsia="宋体"/>
                <w:b w:val="0"/>
                <w:sz w:val="21"/>
              </w:rPr>
              <w:t>《电梯安全筑底三年行动方案（2023—2025年）》（国市监特设发〔2023〕46号）</w:t>
            </w:r>
          </w:p>
        </w:tc>
        <w:tc>
          <w:tcPr>
            <w:tcW w:w="4252" w:type="dxa"/>
            <w:vAlign w:val="center"/>
          </w:tcPr>
          <w:p w14:paraId="20C14EBD">
            <w:pPr>
              <w:spacing w:before="40" w:after="40" w:line="276" w:lineRule="auto"/>
              <w:jc w:val="center"/>
            </w:pPr>
            <w:r>
              <w:rPr>
                <w:rFonts w:ascii="Times New Roman" w:hAnsi="Times New Roman" w:eastAsia="宋体"/>
                <w:b w:val="0"/>
                <w:sz w:val="21"/>
              </w:rPr>
              <w:t>明确提出"推广应用智能报警方式，鼓励在轿厢紧急报警装置无人响应时，自动识别电梯困人场景和自助派单，直接发送信息至电梯使用、维保单位以及当地应急处置服务平台"，与本方案核心功能完全一致</w:t>
            </w:r>
          </w:p>
        </w:tc>
      </w:tr>
      <w:tr w14:paraId="09A8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13BF585">
            <w:pPr>
              <w:spacing w:before="40" w:after="40" w:line="276" w:lineRule="auto"/>
              <w:jc w:val="center"/>
            </w:pPr>
            <w:r>
              <w:rPr>
                <w:rFonts w:ascii="Times New Roman" w:hAnsi="Times New Roman" w:eastAsia="宋体"/>
                <w:b w:val="0"/>
                <w:sz w:val="21"/>
              </w:rPr>
              <w:t>3</w:t>
            </w:r>
          </w:p>
        </w:tc>
        <w:tc>
          <w:tcPr>
            <w:tcW w:w="3480" w:type="dxa"/>
            <w:vAlign w:val="center"/>
          </w:tcPr>
          <w:p w14:paraId="3B37C1C2">
            <w:pPr>
              <w:spacing w:before="40" w:after="40" w:line="276" w:lineRule="auto"/>
              <w:jc w:val="center"/>
            </w:pPr>
            <w:r>
              <w:rPr>
                <w:rFonts w:ascii="Times New Roman" w:hAnsi="Times New Roman" w:eastAsia="宋体"/>
                <w:b w:val="0"/>
                <w:sz w:val="21"/>
              </w:rPr>
              <w:t>《特种设备使用管理规则》（TSG 08—2026）</w:t>
            </w:r>
          </w:p>
        </w:tc>
        <w:tc>
          <w:tcPr>
            <w:tcW w:w="4252" w:type="dxa"/>
            <w:vAlign w:val="center"/>
          </w:tcPr>
          <w:p w14:paraId="0C4A01F6">
            <w:pPr>
              <w:spacing w:before="40" w:after="40" w:line="276" w:lineRule="auto"/>
              <w:jc w:val="center"/>
            </w:pPr>
            <w:r>
              <w:rPr>
                <w:rFonts w:ascii="Times New Roman" w:hAnsi="Times New Roman" w:eastAsia="宋体"/>
                <w:b w:val="0"/>
                <w:sz w:val="21"/>
              </w:rPr>
              <w:t>强化使用单位安全责任与应急处置要求，本方案提供全过程留痕与时限考核支撑</w:t>
            </w:r>
          </w:p>
        </w:tc>
      </w:tr>
      <w:tr w14:paraId="54CD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1AC437C8">
            <w:pPr>
              <w:spacing w:before="40" w:after="40" w:line="276" w:lineRule="auto"/>
              <w:jc w:val="center"/>
            </w:pPr>
            <w:r>
              <w:rPr>
                <w:rFonts w:ascii="Times New Roman" w:hAnsi="Times New Roman" w:eastAsia="宋体"/>
                <w:b w:val="0"/>
                <w:sz w:val="21"/>
              </w:rPr>
              <w:t>4</w:t>
            </w:r>
          </w:p>
        </w:tc>
        <w:tc>
          <w:tcPr>
            <w:tcW w:w="3480" w:type="dxa"/>
            <w:vAlign w:val="center"/>
          </w:tcPr>
          <w:p w14:paraId="6D8031AC">
            <w:pPr>
              <w:spacing w:before="40" w:after="40" w:line="276" w:lineRule="auto"/>
              <w:jc w:val="center"/>
            </w:pPr>
            <w:r>
              <w:rPr>
                <w:rFonts w:ascii="Times New Roman" w:hAnsi="Times New Roman" w:eastAsia="宋体"/>
                <w:b w:val="0"/>
                <w:sz w:val="21"/>
              </w:rPr>
              <w:t>《特种设备使用单位落实使用安全主体责任监督管理规定》（市场监管总局令第74号）</w:t>
            </w:r>
          </w:p>
        </w:tc>
        <w:tc>
          <w:tcPr>
            <w:tcW w:w="4252" w:type="dxa"/>
            <w:vAlign w:val="center"/>
          </w:tcPr>
          <w:p w14:paraId="14D29863">
            <w:pPr>
              <w:spacing w:before="40" w:after="40" w:line="276" w:lineRule="auto"/>
              <w:jc w:val="center"/>
            </w:pPr>
            <w:r>
              <w:rPr>
                <w:rFonts w:ascii="Times New Roman" w:hAnsi="Times New Roman" w:eastAsia="宋体"/>
                <w:b w:val="0"/>
                <w:sz w:val="21"/>
              </w:rPr>
              <w:t>"日管控、周排查、月调度"机制的数据来源与执行记录支撑</w:t>
            </w:r>
          </w:p>
        </w:tc>
      </w:tr>
      <w:tr w14:paraId="63AA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08B1EBD">
            <w:pPr>
              <w:spacing w:before="40" w:after="40" w:line="276" w:lineRule="auto"/>
              <w:jc w:val="center"/>
            </w:pPr>
            <w:r>
              <w:rPr>
                <w:rFonts w:ascii="Times New Roman" w:hAnsi="Times New Roman" w:eastAsia="宋体"/>
                <w:b w:val="0"/>
                <w:sz w:val="21"/>
              </w:rPr>
              <w:t>5</w:t>
            </w:r>
          </w:p>
        </w:tc>
        <w:tc>
          <w:tcPr>
            <w:tcW w:w="3480" w:type="dxa"/>
            <w:vAlign w:val="center"/>
          </w:tcPr>
          <w:p w14:paraId="104916BA">
            <w:pPr>
              <w:spacing w:before="40" w:after="40" w:line="276" w:lineRule="auto"/>
              <w:jc w:val="center"/>
            </w:pPr>
            <w:r>
              <w:rPr>
                <w:rFonts w:ascii="Times New Roman" w:hAnsi="Times New Roman" w:eastAsia="宋体"/>
                <w:b w:val="0"/>
                <w:sz w:val="21"/>
              </w:rPr>
              <w:t>《关于进一步做好住宅老旧电梯更新有关工作的通知》（市监特设发〔2025〕52号）及超长期特别国债支持政策</w:t>
            </w:r>
          </w:p>
        </w:tc>
        <w:tc>
          <w:tcPr>
            <w:tcW w:w="4252" w:type="dxa"/>
            <w:vAlign w:val="center"/>
          </w:tcPr>
          <w:p w14:paraId="7B050F3E">
            <w:pPr>
              <w:spacing w:before="40" w:after="40" w:line="276" w:lineRule="auto"/>
              <w:jc w:val="center"/>
            </w:pPr>
            <w:r>
              <w:rPr>
                <w:rFonts w:ascii="Times New Roman" w:hAnsi="Times New Roman" w:eastAsia="宋体"/>
                <w:b w:val="0"/>
                <w:sz w:val="21"/>
              </w:rPr>
              <w:t>老旧电梯更新改造过程中同步加装应急哨点，可显著摊薄建设成本</w:t>
            </w:r>
          </w:p>
        </w:tc>
      </w:tr>
      <w:tr w14:paraId="058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52A148F">
            <w:pPr>
              <w:spacing w:before="40" w:after="40" w:line="276" w:lineRule="auto"/>
              <w:jc w:val="center"/>
            </w:pPr>
            <w:r>
              <w:rPr>
                <w:rFonts w:ascii="Times New Roman" w:hAnsi="Times New Roman" w:eastAsia="宋体"/>
                <w:b w:val="0"/>
                <w:sz w:val="21"/>
              </w:rPr>
              <w:t>6</w:t>
            </w:r>
          </w:p>
        </w:tc>
        <w:tc>
          <w:tcPr>
            <w:tcW w:w="3480" w:type="dxa"/>
            <w:vAlign w:val="center"/>
          </w:tcPr>
          <w:p w14:paraId="1D87A79E">
            <w:pPr>
              <w:spacing w:before="40" w:after="40" w:line="276" w:lineRule="auto"/>
              <w:jc w:val="center"/>
            </w:pPr>
            <w:r>
              <w:rPr>
                <w:rFonts w:ascii="Times New Roman" w:hAnsi="Times New Roman" w:eastAsia="宋体"/>
                <w:b w:val="0"/>
                <w:sz w:val="21"/>
              </w:rPr>
              <w:t>《公共安全视频图像信息系统管理条例》（国务院令第799号，2025年4月1日施行）</w:t>
            </w:r>
          </w:p>
        </w:tc>
        <w:tc>
          <w:tcPr>
            <w:tcW w:w="4252" w:type="dxa"/>
            <w:vAlign w:val="center"/>
          </w:tcPr>
          <w:p w14:paraId="615605D6">
            <w:pPr>
              <w:spacing w:before="40" w:after="40" w:line="276" w:lineRule="auto"/>
              <w:jc w:val="center"/>
            </w:pPr>
            <w:r>
              <w:rPr>
                <w:rFonts w:ascii="Times New Roman" w:hAnsi="Times New Roman" w:eastAsia="宋体"/>
                <w:b w:val="0"/>
                <w:sz w:val="21"/>
              </w:rPr>
              <w:t>轿厢视频图像的建设、备案、标识、存储期限与使用权限的合规依据</w:t>
            </w:r>
          </w:p>
        </w:tc>
      </w:tr>
      <w:tr w14:paraId="0CF8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383DF7D2">
            <w:pPr>
              <w:spacing w:before="40" w:after="40" w:line="276" w:lineRule="auto"/>
              <w:jc w:val="center"/>
            </w:pPr>
            <w:r>
              <w:rPr>
                <w:rFonts w:ascii="Times New Roman" w:hAnsi="Times New Roman" w:eastAsia="宋体"/>
                <w:b w:val="0"/>
                <w:sz w:val="21"/>
              </w:rPr>
              <w:t>7</w:t>
            </w:r>
          </w:p>
        </w:tc>
        <w:tc>
          <w:tcPr>
            <w:tcW w:w="3480" w:type="dxa"/>
            <w:vAlign w:val="center"/>
          </w:tcPr>
          <w:p w14:paraId="71187CBB">
            <w:pPr>
              <w:spacing w:before="40" w:after="40" w:line="276" w:lineRule="auto"/>
              <w:jc w:val="center"/>
            </w:pPr>
            <w:r>
              <w:rPr>
                <w:rFonts w:ascii="Times New Roman" w:hAnsi="Times New Roman" w:eastAsia="宋体"/>
                <w:b w:val="0"/>
                <w:sz w:val="21"/>
              </w:rPr>
              <w:t>《中华人民共和国突发事件应对法》及各地最小应急单元建设规范</w:t>
            </w:r>
          </w:p>
        </w:tc>
        <w:tc>
          <w:tcPr>
            <w:tcW w:w="4252" w:type="dxa"/>
            <w:vAlign w:val="center"/>
          </w:tcPr>
          <w:p w14:paraId="7D47647B">
            <w:pPr>
              <w:spacing w:before="40" w:after="40" w:line="276" w:lineRule="auto"/>
              <w:jc w:val="center"/>
            </w:pPr>
            <w:r>
              <w:rPr>
                <w:rFonts w:ascii="Times New Roman" w:hAnsi="Times New Roman" w:eastAsia="宋体"/>
                <w:b w:val="0"/>
                <w:sz w:val="21"/>
              </w:rPr>
              <w:t>"1分钟自救、3分钟互救、5分钟增援到位"响应机制的制度依据</w:t>
            </w:r>
          </w:p>
        </w:tc>
      </w:tr>
      <w:tr w14:paraId="2850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076C7EB">
            <w:pPr>
              <w:spacing w:before="40" w:after="40" w:line="276" w:lineRule="auto"/>
              <w:jc w:val="center"/>
            </w:pPr>
            <w:r>
              <w:rPr>
                <w:rFonts w:ascii="Times New Roman" w:hAnsi="Times New Roman" w:eastAsia="宋体"/>
                <w:b w:val="0"/>
                <w:sz w:val="21"/>
              </w:rPr>
              <w:t>8</w:t>
            </w:r>
          </w:p>
        </w:tc>
        <w:tc>
          <w:tcPr>
            <w:tcW w:w="3480" w:type="dxa"/>
            <w:vAlign w:val="center"/>
          </w:tcPr>
          <w:p w14:paraId="0B5BD947">
            <w:pPr>
              <w:spacing w:before="40" w:after="40" w:line="276" w:lineRule="auto"/>
              <w:jc w:val="center"/>
            </w:pPr>
            <w:r>
              <w:rPr>
                <w:rFonts w:ascii="Times New Roman" w:hAnsi="Times New Roman" w:eastAsia="宋体"/>
                <w:b w:val="0"/>
                <w:sz w:val="21"/>
              </w:rPr>
              <w:t>GB/T 24476《电梯、自动扶梯和自动人行道物联网的技术规范》</w:t>
            </w:r>
          </w:p>
        </w:tc>
        <w:tc>
          <w:tcPr>
            <w:tcW w:w="4252" w:type="dxa"/>
            <w:vAlign w:val="center"/>
          </w:tcPr>
          <w:p w14:paraId="4AE735CB">
            <w:pPr>
              <w:spacing w:before="40" w:after="40" w:line="276" w:lineRule="auto"/>
              <w:jc w:val="center"/>
            </w:pPr>
            <w:r>
              <w:rPr>
                <w:rFonts w:ascii="Times New Roman" w:hAnsi="Times New Roman" w:eastAsia="宋体"/>
                <w:b w:val="0"/>
                <w:sz w:val="21"/>
              </w:rPr>
              <w:t>前端数据采集、传输与平台对接的技术规范依据</w:t>
            </w:r>
          </w:p>
        </w:tc>
      </w:tr>
      <w:tr w14:paraId="64B9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351B6371">
            <w:pPr>
              <w:spacing w:before="40" w:after="40" w:line="276" w:lineRule="auto"/>
              <w:jc w:val="center"/>
            </w:pPr>
            <w:r>
              <w:rPr>
                <w:rFonts w:ascii="Times New Roman" w:hAnsi="Times New Roman" w:eastAsia="宋体"/>
                <w:b w:val="0"/>
                <w:sz w:val="21"/>
              </w:rPr>
              <w:t>9</w:t>
            </w:r>
          </w:p>
        </w:tc>
        <w:tc>
          <w:tcPr>
            <w:tcW w:w="3480" w:type="dxa"/>
            <w:vAlign w:val="center"/>
          </w:tcPr>
          <w:p w14:paraId="7551A611">
            <w:pPr>
              <w:spacing w:before="40" w:after="40" w:line="276" w:lineRule="auto"/>
              <w:jc w:val="center"/>
            </w:pPr>
            <w:r>
              <w:rPr>
                <w:rFonts w:ascii="Times New Roman" w:hAnsi="Times New Roman" w:eastAsia="宋体"/>
                <w:b w:val="0"/>
                <w:sz w:val="21"/>
              </w:rPr>
              <w:t>《网络安全法》《数据安全法》《个人信息保护法》</w:t>
            </w:r>
          </w:p>
        </w:tc>
        <w:tc>
          <w:tcPr>
            <w:tcW w:w="4252" w:type="dxa"/>
            <w:vAlign w:val="center"/>
          </w:tcPr>
          <w:p w14:paraId="768F0F5C">
            <w:pPr>
              <w:spacing w:before="40" w:after="40" w:line="276" w:lineRule="auto"/>
              <w:jc w:val="center"/>
            </w:pPr>
            <w:r>
              <w:rPr>
                <w:rFonts w:ascii="Times New Roman" w:hAnsi="Times New Roman" w:eastAsia="宋体"/>
                <w:b w:val="0"/>
                <w:sz w:val="21"/>
              </w:rPr>
              <w:t>视频图像与个人信息处理的合规底线</w:t>
            </w:r>
          </w:p>
        </w:tc>
      </w:tr>
    </w:tbl>
    <w:p w14:paraId="0F0179CD">
      <w:pPr>
        <w:spacing w:after="0"/>
      </w:pPr>
    </w:p>
    <w:p w14:paraId="3C12C042">
      <w:pPr>
        <w:spacing w:before="360" w:after="200" w:line="360" w:lineRule="auto"/>
      </w:pPr>
      <w:r>
        <w:rPr>
          <w:rFonts w:ascii="Times New Roman" w:hAnsi="Times New Roman" w:eastAsia="黑体"/>
          <w:b w:val="0"/>
          <w:color w:val="1F3A5F"/>
          <w:sz w:val="32"/>
        </w:rPr>
        <w:t>三、总体思路</w:t>
      </w:r>
    </w:p>
    <w:p w14:paraId="3DDBA5CD">
      <w:pPr>
        <w:spacing w:before="240" w:after="120" w:line="360" w:lineRule="auto"/>
      </w:pPr>
      <w:r>
        <w:rPr>
          <w:rFonts w:ascii="Times New Roman" w:hAnsi="Times New Roman" w:eastAsia="黑体"/>
          <w:b w:val="0"/>
          <w:color w:val="1F3A5F"/>
          <w:sz w:val="28"/>
        </w:rPr>
        <w:t>3.1 一个转变：从事后取证转向事中处置</w:t>
      </w:r>
    </w:p>
    <w:p w14:paraId="6CC25D3D">
      <w:pPr>
        <w:spacing w:before="0" w:after="120" w:line="360" w:lineRule="auto"/>
        <w:ind w:firstLine="480"/>
      </w:pPr>
      <w:r>
        <w:rPr>
          <w:rFonts w:ascii="Times New Roman" w:hAnsi="Times New Roman" w:eastAsia="宋体"/>
          <w:b w:val="0"/>
          <w:sz w:val="24"/>
        </w:rPr>
        <w:t>本方案的全部设计，围绕电梯监控功能定位的一次根本转变展开：由"事发之后调取录像、界定责任"，转变为"事发之时主动发现、即时处置"。摄像头不再只是记录设备，而是应急链条的起点。</w:t>
      </w:r>
    </w:p>
    <w:p w14:paraId="093920A1">
      <w:pPr>
        <w:spacing w:before="240" w:after="120" w:line="360" w:lineRule="auto"/>
      </w:pPr>
      <w:r>
        <w:rPr>
          <w:rFonts w:ascii="Times New Roman" w:hAnsi="Times New Roman" w:eastAsia="黑体"/>
          <w:b w:val="0"/>
          <w:color w:val="1F3A5F"/>
          <w:sz w:val="28"/>
        </w:rPr>
        <w:t>3.2 三条建设原则</w:t>
      </w:r>
    </w:p>
    <w:p w14:paraId="1E702E1E">
      <w:pPr>
        <w:spacing w:before="160" w:after="80" w:line="360" w:lineRule="auto"/>
      </w:pPr>
      <w:r>
        <w:rPr>
          <w:rFonts w:ascii="Times New Roman" w:hAnsi="Times New Roman" w:eastAsia="黑体"/>
          <w:b/>
          <w:sz w:val="24"/>
        </w:rPr>
        <w:t>原则一：存量激活，不做重复建设</w:t>
      </w:r>
    </w:p>
    <w:p w14:paraId="529782D1">
      <w:pPr>
        <w:spacing w:before="0" w:after="120" w:line="360" w:lineRule="auto"/>
        <w:ind w:firstLine="480"/>
      </w:pPr>
      <w:r>
        <w:rPr>
          <w:rFonts w:ascii="Times New Roman" w:hAnsi="Times New Roman" w:eastAsia="宋体"/>
          <w:b w:val="0"/>
          <w:sz w:val="24"/>
        </w:rPr>
        <w:t>优先利用既有视频监控、网络与存储资源，能利旧的一律利旧，能升级算法解决的不更换硬件，把新增投入集中在真正缺失的感知与联动能力上，最大限度降低单台改造成本，保障大规模覆盖的可行性。</w:t>
      </w:r>
    </w:p>
    <w:p w14:paraId="4F8C8710">
      <w:pPr>
        <w:spacing w:before="160" w:after="80" w:line="360" w:lineRule="auto"/>
      </w:pPr>
      <w:r>
        <w:rPr>
          <w:rFonts w:ascii="Times New Roman" w:hAnsi="Times New Roman" w:eastAsia="黑体"/>
          <w:b/>
          <w:sz w:val="24"/>
        </w:rPr>
        <w:t>原则二：安全内聚，功能不做发散</w:t>
      </w:r>
    </w:p>
    <w:p w14:paraId="3940F9C4">
      <w:pPr>
        <w:spacing w:before="0" w:after="120" w:line="360" w:lineRule="auto"/>
        <w:ind w:firstLine="480"/>
      </w:pPr>
      <w:r>
        <w:rPr>
          <w:rFonts w:ascii="Times New Roman" w:hAnsi="Times New Roman" w:eastAsia="宋体"/>
          <w:b w:val="0"/>
          <w:sz w:val="24"/>
        </w:rPr>
        <w:t>全部功能围绕应急处置主线设计，不叠加与安全无关的管理与商业模块。功能越聚焦，响应链路越短，系统越可靠，越经得起实战检验。</w:t>
      </w:r>
    </w:p>
    <w:p w14:paraId="00673110">
      <w:pPr>
        <w:spacing w:before="160" w:after="80" w:line="360" w:lineRule="auto"/>
      </w:pPr>
      <w:r>
        <w:rPr>
          <w:rFonts w:ascii="Times New Roman" w:hAnsi="Times New Roman" w:eastAsia="黑体"/>
          <w:b/>
          <w:sz w:val="24"/>
        </w:rPr>
        <w:t>原则三：体系嵌入，不做信息孤岛</w:t>
      </w:r>
    </w:p>
    <w:p w14:paraId="7C5345DA">
      <w:pPr>
        <w:spacing w:before="0" w:after="120" w:line="360" w:lineRule="auto"/>
        <w:ind w:firstLine="480"/>
      </w:pPr>
      <w:r>
        <w:rPr>
          <w:rFonts w:ascii="Times New Roman" w:hAnsi="Times New Roman" w:eastAsia="宋体"/>
          <w:b w:val="0"/>
          <w:sz w:val="24"/>
        </w:rPr>
        <w:t>本方案不新建一套独立运行的封闭系统，而是作为城市安全哨兵体系在电梯场景的能力延伸：向上按标准接口接入城市级安全监测预警平台与应急指挥体系，横向对接电梯应急处置服务平台（96333等）与110、119、120联动通道，向下嵌入街道、社区、物业的最小应急单元响应机制。</w:t>
      </w:r>
    </w:p>
    <w:p w14:paraId="1EACF867">
      <w:pPr>
        <w:spacing w:before="240" w:after="120" w:line="360" w:lineRule="auto"/>
      </w:pPr>
      <w:r>
        <w:rPr>
          <w:rFonts w:ascii="Times New Roman" w:hAnsi="Times New Roman" w:eastAsia="黑体"/>
          <w:b w:val="0"/>
          <w:color w:val="1F3A5F"/>
          <w:sz w:val="28"/>
        </w:rPr>
        <w:t>3.3 体系定位：三级嵌入</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3175"/>
        <w:gridCol w:w="3855"/>
      </w:tblGrid>
      <w:tr w14:paraId="0283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474" w:type="dxa"/>
            <w:shd w:val="clear" w:color="auto" w:fill="1F3A5F"/>
            <w:vAlign w:val="center"/>
          </w:tcPr>
          <w:p w14:paraId="3B47AD4C">
            <w:pPr>
              <w:spacing w:before="40" w:after="40" w:line="276" w:lineRule="auto"/>
              <w:jc w:val="center"/>
            </w:pPr>
            <w:r>
              <w:rPr>
                <w:rFonts w:ascii="Times New Roman" w:hAnsi="Times New Roman" w:eastAsia="黑体"/>
                <w:b/>
                <w:color w:val="FFFFFF"/>
                <w:sz w:val="21"/>
              </w:rPr>
              <w:t>层级</w:t>
            </w:r>
          </w:p>
        </w:tc>
        <w:tc>
          <w:tcPr>
            <w:tcW w:w="3175" w:type="dxa"/>
            <w:shd w:val="clear" w:color="auto" w:fill="1F3A5F"/>
            <w:vAlign w:val="center"/>
          </w:tcPr>
          <w:p w14:paraId="6796285F">
            <w:pPr>
              <w:spacing w:before="40" w:after="40" w:line="276" w:lineRule="auto"/>
              <w:jc w:val="center"/>
            </w:pPr>
            <w:r>
              <w:rPr>
                <w:rFonts w:ascii="Times New Roman" w:hAnsi="Times New Roman" w:eastAsia="黑体"/>
                <w:b/>
                <w:color w:val="FFFFFF"/>
                <w:sz w:val="21"/>
              </w:rPr>
              <w:t>定位</w:t>
            </w:r>
          </w:p>
        </w:tc>
        <w:tc>
          <w:tcPr>
            <w:tcW w:w="3855" w:type="dxa"/>
            <w:shd w:val="clear" w:color="auto" w:fill="1F3A5F"/>
            <w:vAlign w:val="center"/>
          </w:tcPr>
          <w:p w14:paraId="7A10A4B1">
            <w:pPr>
              <w:spacing w:before="40" w:after="40" w:line="276" w:lineRule="auto"/>
              <w:jc w:val="center"/>
            </w:pPr>
            <w:r>
              <w:rPr>
                <w:rFonts w:ascii="Times New Roman" w:hAnsi="Times New Roman" w:eastAsia="黑体"/>
                <w:b/>
                <w:color w:val="FFFFFF"/>
                <w:sz w:val="21"/>
              </w:rPr>
              <w:t>本方案承担的角色</w:t>
            </w:r>
          </w:p>
        </w:tc>
      </w:tr>
      <w:tr w14:paraId="235A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4F91EEA6">
            <w:pPr>
              <w:spacing w:before="40" w:after="40" w:line="276" w:lineRule="auto"/>
              <w:jc w:val="center"/>
            </w:pPr>
            <w:r>
              <w:rPr>
                <w:rFonts w:ascii="Times New Roman" w:hAnsi="Times New Roman" w:eastAsia="宋体"/>
                <w:b w:val="0"/>
                <w:sz w:val="21"/>
              </w:rPr>
              <w:t>城市级</w:t>
            </w:r>
          </w:p>
        </w:tc>
        <w:tc>
          <w:tcPr>
            <w:tcW w:w="3175" w:type="dxa"/>
            <w:vAlign w:val="center"/>
          </w:tcPr>
          <w:p w14:paraId="22FE1696">
            <w:pPr>
              <w:spacing w:before="40" w:after="40" w:line="276" w:lineRule="auto"/>
              <w:jc w:val="center"/>
            </w:pPr>
            <w:r>
              <w:rPr>
                <w:rFonts w:ascii="Times New Roman" w:hAnsi="Times New Roman" w:eastAsia="宋体"/>
                <w:b w:val="0"/>
                <w:sz w:val="21"/>
              </w:rPr>
              <w:t>城市安全哨兵体系 / 城市安全风险监测预警平台</w:t>
            </w:r>
          </w:p>
        </w:tc>
        <w:tc>
          <w:tcPr>
            <w:tcW w:w="3855" w:type="dxa"/>
            <w:vAlign w:val="center"/>
          </w:tcPr>
          <w:p w14:paraId="033BA29C">
            <w:pPr>
              <w:spacing w:before="40" w:after="40" w:line="276" w:lineRule="auto"/>
              <w:jc w:val="center"/>
            </w:pPr>
            <w:r>
              <w:rPr>
                <w:rFonts w:ascii="Times New Roman" w:hAnsi="Times New Roman" w:eastAsia="宋体"/>
                <w:b w:val="0"/>
                <w:sz w:val="21"/>
              </w:rPr>
              <w:t>提供电梯场景的标准化感知数据与警情数据，纳入城市安全一张图</w:t>
            </w:r>
          </w:p>
        </w:tc>
      </w:tr>
      <w:tr w14:paraId="12EB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67212149">
            <w:pPr>
              <w:spacing w:before="40" w:after="40" w:line="276" w:lineRule="auto"/>
              <w:jc w:val="center"/>
            </w:pPr>
            <w:r>
              <w:rPr>
                <w:rFonts w:ascii="Times New Roman" w:hAnsi="Times New Roman" w:eastAsia="宋体"/>
                <w:b w:val="0"/>
                <w:sz w:val="21"/>
              </w:rPr>
              <w:t>街道社区级</w:t>
            </w:r>
          </w:p>
        </w:tc>
        <w:tc>
          <w:tcPr>
            <w:tcW w:w="3175" w:type="dxa"/>
            <w:vAlign w:val="center"/>
          </w:tcPr>
          <w:p w14:paraId="08A9BB04">
            <w:pPr>
              <w:spacing w:before="40" w:after="40" w:line="276" w:lineRule="auto"/>
              <w:jc w:val="center"/>
            </w:pPr>
            <w:r>
              <w:rPr>
                <w:rFonts w:ascii="Times New Roman" w:hAnsi="Times New Roman" w:eastAsia="宋体"/>
                <w:b w:val="0"/>
                <w:sz w:val="21"/>
              </w:rPr>
              <w:t>基层应急指挥体系 / 最小应急单元</w:t>
            </w:r>
          </w:p>
        </w:tc>
        <w:tc>
          <w:tcPr>
            <w:tcW w:w="3855" w:type="dxa"/>
            <w:vAlign w:val="center"/>
          </w:tcPr>
          <w:p w14:paraId="49B32822">
            <w:pPr>
              <w:spacing w:before="40" w:after="40" w:line="276" w:lineRule="auto"/>
              <w:jc w:val="center"/>
            </w:pPr>
            <w:r>
              <w:rPr>
                <w:rFonts w:ascii="Times New Roman" w:hAnsi="Times New Roman" w:eastAsia="宋体"/>
                <w:b w:val="0"/>
                <w:sz w:val="21"/>
              </w:rPr>
              <w:t>提供电梯警情的直达通道与处置调度能力，补齐末端处置短板</w:t>
            </w:r>
          </w:p>
        </w:tc>
      </w:tr>
      <w:tr w14:paraId="35F5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44213C25">
            <w:pPr>
              <w:spacing w:before="40" w:after="40" w:line="276" w:lineRule="auto"/>
              <w:jc w:val="center"/>
            </w:pPr>
            <w:r>
              <w:rPr>
                <w:rFonts w:ascii="Times New Roman" w:hAnsi="Times New Roman" w:eastAsia="宋体"/>
                <w:b w:val="0"/>
                <w:sz w:val="21"/>
              </w:rPr>
              <w:t>楼宇单元级</w:t>
            </w:r>
          </w:p>
        </w:tc>
        <w:tc>
          <w:tcPr>
            <w:tcW w:w="3175" w:type="dxa"/>
            <w:vAlign w:val="center"/>
          </w:tcPr>
          <w:p w14:paraId="6DA6E8DE">
            <w:pPr>
              <w:spacing w:before="40" w:after="40" w:line="276" w:lineRule="auto"/>
              <w:jc w:val="center"/>
            </w:pPr>
            <w:r>
              <w:rPr>
                <w:rFonts w:ascii="Times New Roman" w:hAnsi="Times New Roman" w:eastAsia="宋体"/>
                <w:b w:val="0"/>
                <w:sz w:val="21"/>
              </w:rPr>
              <w:t>电梯哨点</w:t>
            </w:r>
          </w:p>
        </w:tc>
        <w:tc>
          <w:tcPr>
            <w:tcW w:w="3855" w:type="dxa"/>
            <w:vAlign w:val="center"/>
          </w:tcPr>
          <w:p w14:paraId="44496485">
            <w:pPr>
              <w:spacing w:before="40" w:after="40" w:line="276" w:lineRule="auto"/>
              <w:jc w:val="center"/>
            </w:pPr>
            <w:r>
              <w:rPr>
                <w:rFonts w:ascii="Times New Roman" w:hAnsi="Times New Roman" w:eastAsia="宋体"/>
                <w:b w:val="0"/>
                <w:sz w:val="21"/>
              </w:rPr>
              <w:t>完成感知、报警、核警、安抚、先期处置与全程留痕</w:t>
            </w:r>
          </w:p>
        </w:tc>
      </w:tr>
    </w:tbl>
    <w:p w14:paraId="2E22B641">
      <w:pPr>
        <w:spacing w:after="0"/>
      </w:pPr>
    </w:p>
    <w:p w14:paraId="20E7BD8F">
      <w:pPr>
        <w:spacing w:before="360" w:after="200" w:line="360" w:lineRule="auto"/>
      </w:pPr>
      <w:r>
        <w:rPr>
          <w:rFonts w:ascii="Times New Roman" w:hAnsi="Times New Roman" w:eastAsia="黑体"/>
          <w:b w:val="0"/>
          <w:color w:val="1F3A5F"/>
          <w:sz w:val="32"/>
        </w:rPr>
        <w:t>四、总体架构</w:t>
      </w:r>
    </w:p>
    <w:p w14:paraId="20FEAEDF">
      <w:pPr>
        <w:spacing w:before="240" w:after="120" w:line="360" w:lineRule="auto"/>
      </w:pPr>
      <w:r>
        <w:rPr>
          <w:rFonts w:ascii="Times New Roman" w:hAnsi="Times New Roman" w:eastAsia="黑体"/>
          <w:b w:val="0"/>
          <w:color w:val="1F3A5F"/>
          <w:sz w:val="28"/>
        </w:rPr>
        <w:t>4.1 架构总览</w:t>
      </w:r>
    </w:p>
    <w:p w14:paraId="0BBE4D6D">
      <w:pPr>
        <w:spacing w:before="0" w:after="120" w:line="360" w:lineRule="auto"/>
        <w:ind w:firstLine="480"/>
      </w:pPr>
      <w:r>
        <w:rPr>
          <w:rFonts w:ascii="Times New Roman" w:hAnsi="Times New Roman" w:eastAsia="宋体"/>
          <w:b w:val="0"/>
          <w:sz w:val="24"/>
        </w:rPr>
        <w:t>系统由哨点感知层、传输保障层、哨兵中枢层、响应处置层四层构成，自下而上完成"感知—传输—研判—处置"的完整闭环。</w:t>
      </w:r>
    </w:p>
    <w:p w14:paraId="3008A37E">
      <w:pPr>
        <w:spacing w:before="240" w:after="120" w:line="360" w:lineRule="auto"/>
      </w:pPr>
      <w:r>
        <w:rPr>
          <w:rFonts w:ascii="Times New Roman" w:hAnsi="Times New Roman" w:eastAsia="黑体"/>
          <w:b w:val="0"/>
          <w:color w:val="1F3A5F"/>
          <w:sz w:val="28"/>
        </w:rPr>
        <w:t>4.2 哨点感知层</w:t>
      </w:r>
    </w:p>
    <w:p w14:paraId="0EB89399">
      <w:pPr>
        <w:spacing w:before="0" w:after="120" w:line="360" w:lineRule="auto"/>
        <w:ind w:firstLine="480"/>
      </w:pPr>
      <w:r>
        <w:rPr>
          <w:rFonts w:ascii="Times New Roman" w:hAnsi="Times New Roman" w:eastAsia="宋体"/>
          <w:b w:val="0"/>
          <w:sz w:val="24"/>
        </w:rPr>
        <w:t>部署于电梯轿厢及机房，负责获取安全事件的第一手信息，是整个体系的神经末梢。</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608"/>
        <w:gridCol w:w="4195"/>
      </w:tblGrid>
      <w:tr w14:paraId="0161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701" w:type="dxa"/>
            <w:shd w:val="clear" w:color="auto" w:fill="1F3A5F"/>
            <w:vAlign w:val="center"/>
          </w:tcPr>
          <w:p w14:paraId="436FAD04">
            <w:pPr>
              <w:spacing w:before="40" w:after="40" w:line="276" w:lineRule="auto"/>
              <w:jc w:val="center"/>
            </w:pPr>
            <w:r>
              <w:rPr>
                <w:rFonts w:ascii="Times New Roman" w:hAnsi="Times New Roman" w:eastAsia="黑体"/>
                <w:b/>
                <w:color w:val="FFFFFF"/>
                <w:sz w:val="21"/>
              </w:rPr>
              <w:t>组成</w:t>
            </w:r>
          </w:p>
        </w:tc>
        <w:tc>
          <w:tcPr>
            <w:tcW w:w="2608" w:type="dxa"/>
            <w:shd w:val="clear" w:color="auto" w:fill="1F3A5F"/>
            <w:vAlign w:val="center"/>
          </w:tcPr>
          <w:p w14:paraId="21191F46">
            <w:pPr>
              <w:spacing w:before="40" w:after="40" w:line="276" w:lineRule="auto"/>
              <w:jc w:val="center"/>
            </w:pPr>
            <w:r>
              <w:rPr>
                <w:rFonts w:ascii="Times New Roman" w:hAnsi="Times New Roman" w:eastAsia="黑体"/>
                <w:b/>
                <w:color w:val="FFFFFF"/>
                <w:sz w:val="21"/>
              </w:rPr>
              <w:t>功能定位</w:t>
            </w:r>
          </w:p>
        </w:tc>
        <w:tc>
          <w:tcPr>
            <w:tcW w:w="4195" w:type="dxa"/>
            <w:shd w:val="clear" w:color="auto" w:fill="1F3A5F"/>
            <w:vAlign w:val="center"/>
          </w:tcPr>
          <w:p w14:paraId="616C8F2C">
            <w:pPr>
              <w:spacing w:before="40" w:after="40" w:line="276" w:lineRule="auto"/>
              <w:jc w:val="center"/>
            </w:pPr>
            <w:r>
              <w:rPr>
                <w:rFonts w:ascii="Times New Roman" w:hAnsi="Times New Roman" w:eastAsia="黑体"/>
                <w:b/>
                <w:color w:val="FFFFFF"/>
                <w:sz w:val="21"/>
              </w:rPr>
              <w:t>关键要求</w:t>
            </w:r>
          </w:p>
        </w:tc>
      </w:tr>
      <w:tr w14:paraId="2E136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6A4B3D35">
            <w:pPr>
              <w:spacing w:before="40" w:after="40" w:line="276" w:lineRule="auto"/>
              <w:jc w:val="center"/>
            </w:pPr>
            <w:r>
              <w:rPr>
                <w:rFonts w:ascii="Times New Roman" w:hAnsi="Times New Roman" w:eastAsia="宋体"/>
                <w:b w:val="0"/>
                <w:sz w:val="21"/>
              </w:rPr>
              <w:t>轿厢AI摄像机</w:t>
            </w:r>
          </w:p>
        </w:tc>
        <w:tc>
          <w:tcPr>
            <w:tcW w:w="2608" w:type="dxa"/>
            <w:vAlign w:val="center"/>
          </w:tcPr>
          <w:p w14:paraId="6F767F56">
            <w:pPr>
              <w:spacing w:before="40" w:after="40" w:line="276" w:lineRule="auto"/>
              <w:jc w:val="center"/>
            </w:pPr>
            <w:r>
              <w:rPr>
                <w:rFonts w:ascii="Times New Roman" w:hAnsi="Times New Roman" w:eastAsia="宋体"/>
                <w:b w:val="0"/>
                <w:sz w:val="21"/>
              </w:rPr>
              <w:t>视频采集与边缘智能识别，支持双向语音对讲</w:t>
            </w:r>
          </w:p>
        </w:tc>
        <w:tc>
          <w:tcPr>
            <w:tcW w:w="4195" w:type="dxa"/>
            <w:vAlign w:val="center"/>
          </w:tcPr>
          <w:p w14:paraId="64C650D8">
            <w:pPr>
              <w:spacing w:before="40" w:after="40" w:line="276" w:lineRule="auto"/>
              <w:jc w:val="center"/>
            </w:pPr>
            <w:r>
              <w:rPr>
                <w:rFonts w:ascii="Times New Roman" w:hAnsi="Times New Roman" w:eastAsia="宋体"/>
                <w:b w:val="0"/>
                <w:sz w:val="21"/>
              </w:rPr>
              <w:t>内置麦克风与扬声器；支持困人、倒地、电动车等算法；防暴设计；断网本地存储与续传</w:t>
            </w:r>
          </w:p>
        </w:tc>
      </w:tr>
      <w:tr w14:paraId="7AF7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3101CBCB">
            <w:pPr>
              <w:spacing w:before="40" w:after="40" w:line="276" w:lineRule="auto"/>
              <w:jc w:val="center"/>
            </w:pPr>
            <w:r>
              <w:rPr>
                <w:rFonts w:ascii="Times New Roman" w:hAnsi="Times New Roman" w:eastAsia="宋体"/>
                <w:b w:val="0"/>
                <w:sz w:val="21"/>
              </w:rPr>
              <w:t>云边智控终端</w:t>
            </w:r>
          </w:p>
        </w:tc>
        <w:tc>
          <w:tcPr>
            <w:tcW w:w="2608" w:type="dxa"/>
            <w:vAlign w:val="center"/>
          </w:tcPr>
          <w:p w14:paraId="4A6DB646">
            <w:pPr>
              <w:spacing w:before="40" w:after="40" w:line="276" w:lineRule="auto"/>
              <w:jc w:val="center"/>
            </w:pPr>
            <w:r>
              <w:rPr>
                <w:rFonts w:ascii="Times New Roman" w:hAnsi="Times New Roman" w:eastAsia="宋体"/>
                <w:b w:val="0"/>
                <w:sz w:val="21"/>
              </w:rPr>
              <w:t>协议转换、开关量联动控制、报警信号汇聚</w:t>
            </w:r>
          </w:p>
        </w:tc>
        <w:tc>
          <w:tcPr>
            <w:tcW w:w="4195" w:type="dxa"/>
            <w:vAlign w:val="center"/>
          </w:tcPr>
          <w:p w14:paraId="39695F8B">
            <w:pPr>
              <w:spacing w:before="40" w:after="40" w:line="276" w:lineRule="auto"/>
              <w:jc w:val="center"/>
            </w:pPr>
            <w:r>
              <w:rPr>
                <w:rFonts w:ascii="Times New Roman" w:hAnsi="Times New Roman" w:eastAsia="宋体"/>
                <w:b w:val="0"/>
                <w:sz w:val="21"/>
              </w:rPr>
              <w:t>支持多路开关量输入输出、RS485；支持远程控制与OTA升级；支持标准视频协议绑定</w:t>
            </w:r>
          </w:p>
        </w:tc>
      </w:tr>
      <w:tr w14:paraId="7075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10D11070">
            <w:pPr>
              <w:spacing w:before="40" w:after="40" w:line="276" w:lineRule="auto"/>
              <w:jc w:val="center"/>
            </w:pPr>
            <w:r>
              <w:rPr>
                <w:rFonts w:ascii="Times New Roman" w:hAnsi="Times New Roman" w:eastAsia="宋体"/>
                <w:b w:val="0"/>
                <w:sz w:val="21"/>
              </w:rPr>
              <w:t>运行状态传感</w:t>
            </w:r>
          </w:p>
        </w:tc>
        <w:tc>
          <w:tcPr>
            <w:tcW w:w="2608" w:type="dxa"/>
            <w:vAlign w:val="center"/>
          </w:tcPr>
          <w:p w14:paraId="53A87198">
            <w:pPr>
              <w:spacing w:before="40" w:after="40" w:line="276" w:lineRule="auto"/>
              <w:jc w:val="center"/>
            </w:pPr>
            <w:r>
              <w:rPr>
                <w:rFonts w:ascii="Times New Roman" w:hAnsi="Times New Roman" w:eastAsia="宋体"/>
                <w:b w:val="0"/>
                <w:sz w:val="21"/>
              </w:rPr>
              <w:t>楼层、运动、门态、有无人等状态采集</w:t>
            </w:r>
          </w:p>
        </w:tc>
        <w:tc>
          <w:tcPr>
            <w:tcW w:w="4195" w:type="dxa"/>
            <w:vAlign w:val="center"/>
          </w:tcPr>
          <w:p w14:paraId="2B938F28">
            <w:pPr>
              <w:spacing w:before="40" w:after="40" w:line="276" w:lineRule="auto"/>
              <w:jc w:val="center"/>
            </w:pPr>
            <w:r>
              <w:rPr>
                <w:rFonts w:ascii="Times New Roman" w:hAnsi="Times New Roman" w:eastAsia="宋体"/>
                <w:b w:val="0"/>
                <w:sz w:val="21"/>
              </w:rPr>
              <w:t>与电梯主板或独立传感器对接，支持全品牌解耦接入，不改动电梯原有控制系统</w:t>
            </w:r>
          </w:p>
        </w:tc>
      </w:tr>
      <w:tr w14:paraId="5056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0F928F11">
            <w:pPr>
              <w:spacing w:before="40" w:after="40" w:line="276" w:lineRule="auto"/>
              <w:jc w:val="center"/>
            </w:pPr>
            <w:r>
              <w:rPr>
                <w:rFonts w:ascii="Times New Roman" w:hAnsi="Times New Roman" w:eastAsia="宋体"/>
                <w:b w:val="0"/>
                <w:sz w:val="21"/>
              </w:rPr>
              <w:t>一键报警按钮</w:t>
            </w:r>
          </w:p>
        </w:tc>
        <w:tc>
          <w:tcPr>
            <w:tcW w:w="2608" w:type="dxa"/>
            <w:vAlign w:val="center"/>
          </w:tcPr>
          <w:p w14:paraId="0B48BEF5">
            <w:pPr>
              <w:spacing w:before="40" w:after="40" w:line="276" w:lineRule="auto"/>
              <w:jc w:val="center"/>
            </w:pPr>
            <w:r>
              <w:rPr>
                <w:rFonts w:ascii="Times New Roman" w:hAnsi="Times New Roman" w:eastAsia="宋体"/>
                <w:b w:val="0"/>
                <w:sz w:val="21"/>
              </w:rPr>
              <w:t>被困人员主动求助入口</w:t>
            </w:r>
          </w:p>
        </w:tc>
        <w:tc>
          <w:tcPr>
            <w:tcW w:w="4195" w:type="dxa"/>
            <w:vAlign w:val="center"/>
          </w:tcPr>
          <w:p w14:paraId="73840FE8">
            <w:pPr>
              <w:spacing w:before="40" w:after="40" w:line="276" w:lineRule="auto"/>
              <w:jc w:val="center"/>
            </w:pPr>
            <w:r>
              <w:rPr>
                <w:rFonts w:ascii="Times New Roman" w:hAnsi="Times New Roman" w:eastAsia="宋体"/>
                <w:b w:val="0"/>
                <w:sz w:val="21"/>
              </w:rPr>
              <w:t>位置醒目、易于触及；老人儿童可操作；与法定五方通话装置并行独立</w:t>
            </w:r>
          </w:p>
        </w:tc>
      </w:tr>
    </w:tbl>
    <w:p w14:paraId="4BE06D01">
      <w:pPr>
        <w:spacing w:after="0"/>
      </w:pPr>
    </w:p>
    <w:p w14:paraId="5FDA5FC0">
      <w:pPr>
        <w:spacing w:before="240" w:after="120" w:line="360" w:lineRule="auto"/>
      </w:pPr>
      <w:r>
        <w:rPr>
          <w:rFonts w:ascii="Times New Roman" w:hAnsi="Times New Roman" w:eastAsia="黑体"/>
          <w:b w:val="0"/>
          <w:color w:val="1F3A5F"/>
          <w:sz w:val="28"/>
        </w:rPr>
        <w:t>4.3 传输保障层</w:t>
      </w:r>
    </w:p>
    <w:p w14:paraId="1155A465">
      <w:pPr>
        <w:spacing w:before="0" w:after="120" w:line="360" w:lineRule="auto"/>
        <w:ind w:firstLine="480"/>
      </w:pPr>
      <w:r>
        <w:rPr>
          <w:rFonts w:ascii="Times New Roman" w:hAnsi="Times New Roman" w:eastAsia="宋体"/>
          <w:b w:val="0"/>
          <w:sz w:val="24"/>
        </w:rPr>
        <w:t>传输链路的可靠性直接决定应急能力的真实成色。电梯困人事件常伴随停电、断网等异常工况，若前端在此时失联，全部感知能力归零。本层为此专门设计：</w:t>
      </w:r>
    </w:p>
    <w:p w14:paraId="02F2654B">
      <w:pPr>
        <w:spacing w:after="80" w:line="360" w:lineRule="auto"/>
        <w:ind w:left="480" w:firstLine="0"/>
      </w:pPr>
      <w:r>
        <w:rPr>
          <w:rFonts w:ascii="Times New Roman" w:hAnsi="Times New Roman" w:eastAsia="宋体"/>
          <w:b w:val="0"/>
          <w:sz w:val="24"/>
        </w:rPr>
        <w:t>— 主链路：优先复用既有视频监控网络，采用加密专线或VPN方式传输，不新建骨干网络；</w:t>
      </w:r>
    </w:p>
    <w:p w14:paraId="6EFB3544">
      <w:pPr>
        <w:spacing w:after="80" w:line="360" w:lineRule="auto"/>
        <w:ind w:left="480" w:firstLine="0"/>
      </w:pPr>
      <w:r>
        <w:rPr>
          <w:rFonts w:ascii="Times New Roman" w:hAnsi="Times New Roman" w:eastAsia="宋体"/>
          <w:b w:val="0"/>
          <w:sz w:val="24"/>
        </w:rPr>
        <w:t>— 备份链路：终端内置4G/5G无线模块，主链路中断时自动切换，保障报警信息与语音通道不中断；</w:t>
      </w:r>
    </w:p>
    <w:p w14:paraId="1564D301">
      <w:pPr>
        <w:spacing w:after="80" w:line="360" w:lineRule="auto"/>
        <w:ind w:left="480" w:firstLine="0"/>
      </w:pPr>
      <w:r>
        <w:rPr>
          <w:rFonts w:ascii="Times New Roman" w:hAnsi="Times New Roman" w:eastAsia="宋体"/>
          <w:b w:val="0"/>
          <w:sz w:val="24"/>
        </w:rPr>
        <w:t>— 断电续报：终端配置后备电源，市电中断后仍可持续工作不少于4小时，确保停电困人场景下报警、对讲、定位功能全部可用；</w:t>
      </w:r>
    </w:p>
    <w:p w14:paraId="042A48FA">
      <w:pPr>
        <w:spacing w:after="80" w:line="360" w:lineRule="auto"/>
        <w:ind w:left="480" w:firstLine="0"/>
      </w:pPr>
      <w:r>
        <w:rPr>
          <w:rFonts w:ascii="Times New Roman" w:hAnsi="Times New Roman" w:eastAsia="宋体"/>
          <w:b w:val="0"/>
          <w:sz w:val="24"/>
        </w:rPr>
        <w:t>— 本地缓存：网络恢复后自动补传中断期间的视频与状态数据，保证证据链完整。</w:t>
      </w:r>
    </w:p>
    <w:p w14:paraId="3F1D195C">
      <w:pPr>
        <w:spacing w:before="240" w:after="120" w:line="360" w:lineRule="auto"/>
      </w:pPr>
      <w:r>
        <w:rPr>
          <w:rFonts w:ascii="Times New Roman" w:hAnsi="Times New Roman" w:eastAsia="黑体"/>
          <w:b w:val="0"/>
          <w:color w:val="1F3A5F"/>
          <w:sz w:val="28"/>
        </w:rPr>
        <w:t>4.4 哨兵中枢层</w:t>
      </w:r>
    </w:p>
    <w:p w14:paraId="3F7361D8">
      <w:pPr>
        <w:spacing w:before="0" w:after="120" w:line="360" w:lineRule="auto"/>
        <w:ind w:firstLine="480"/>
      </w:pPr>
      <w:r>
        <w:rPr>
          <w:rFonts w:ascii="Times New Roman" w:hAnsi="Times New Roman" w:eastAsia="宋体"/>
          <w:b w:val="0"/>
          <w:sz w:val="24"/>
        </w:rPr>
        <w:t>中枢平台是整个体系的大脑，承担四项核心职能：</w:t>
      </w:r>
    </w:p>
    <w:p w14:paraId="52254341">
      <w:pPr>
        <w:spacing w:before="160" w:after="80" w:line="360" w:lineRule="auto"/>
      </w:pPr>
      <w:r>
        <w:rPr>
          <w:rFonts w:ascii="Times New Roman" w:hAnsi="Times New Roman" w:eastAsia="黑体"/>
          <w:b/>
          <w:sz w:val="24"/>
        </w:rPr>
        <w:t>（一）多源报警汇聚</w:t>
      </w:r>
    </w:p>
    <w:p w14:paraId="280AB7D5">
      <w:pPr>
        <w:spacing w:before="0" w:after="120" w:line="360" w:lineRule="auto"/>
        <w:ind w:firstLine="480"/>
      </w:pPr>
      <w:r>
        <w:rPr>
          <w:rFonts w:ascii="Times New Roman" w:hAnsi="Times New Roman" w:eastAsia="宋体"/>
          <w:b w:val="0"/>
          <w:sz w:val="24"/>
        </w:rPr>
        <w:t>统一接收人工按键报警、AI自动识别报警、运行状态异常研判报警、法定报警装置无人响应的兜底报警等多路信号，去重合并，生成唯一警情工单。</w:t>
      </w:r>
    </w:p>
    <w:p w14:paraId="4792AC48">
      <w:pPr>
        <w:spacing w:before="160" w:after="80" w:line="360" w:lineRule="auto"/>
      </w:pPr>
      <w:r>
        <w:rPr>
          <w:rFonts w:ascii="Times New Roman" w:hAnsi="Times New Roman" w:eastAsia="黑体"/>
          <w:b/>
          <w:sz w:val="24"/>
        </w:rPr>
        <w:t>（二）AI视频核警</w:t>
      </w:r>
    </w:p>
    <w:p w14:paraId="5D46834B">
      <w:pPr>
        <w:spacing w:before="0" w:after="120" w:line="360" w:lineRule="auto"/>
        <w:ind w:firstLine="480"/>
      </w:pPr>
      <w:r>
        <w:rPr>
          <w:rFonts w:ascii="Times New Roman" w:hAnsi="Times New Roman" w:eastAsia="宋体"/>
          <w:b w:val="0"/>
          <w:sz w:val="24"/>
        </w:rPr>
        <w:t>警情生成的同时自动抓取现场画面与运行数据，完成有人无人、被困人数、人员状态、特殊群体、楼层位置等要素的自动研判，形成警情证据包随工单推送。</w:t>
      </w:r>
    </w:p>
    <w:p w14:paraId="48B25F06">
      <w:pPr>
        <w:spacing w:before="160" w:after="80" w:line="360" w:lineRule="auto"/>
      </w:pPr>
      <w:r>
        <w:rPr>
          <w:rFonts w:ascii="Times New Roman" w:hAnsi="Times New Roman" w:eastAsia="黑体"/>
          <w:b/>
          <w:sz w:val="24"/>
        </w:rPr>
        <w:t>（三）分级智能派单</w:t>
      </w:r>
    </w:p>
    <w:p w14:paraId="32563ABF">
      <w:pPr>
        <w:spacing w:before="0" w:after="120" w:line="360" w:lineRule="auto"/>
        <w:ind w:firstLine="480"/>
      </w:pPr>
      <w:r>
        <w:rPr>
          <w:rFonts w:ascii="Times New Roman" w:hAnsi="Times New Roman" w:eastAsia="宋体"/>
          <w:b w:val="0"/>
          <w:sz w:val="24"/>
        </w:rPr>
        <w:t>依据警情等级、事件类型与力量分布，按预设规则同时或分级推送至物业值班岗、最小应急单元、维保应急队伍及上级平台，并对各环节响应时限进行倒计时监控，超时自动升级。</w:t>
      </w:r>
    </w:p>
    <w:p w14:paraId="06E55039">
      <w:pPr>
        <w:spacing w:before="160" w:after="80" w:line="360" w:lineRule="auto"/>
      </w:pPr>
      <w:r>
        <w:rPr>
          <w:rFonts w:ascii="Times New Roman" w:hAnsi="Times New Roman" w:eastAsia="黑体"/>
          <w:b/>
          <w:sz w:val="24"/>
        </w:rPr>
        <w:t>（四）闭环归档与一梯一档</w:t>
      </w:r>
    </w:p>
    <w:p w14:paraId="4B55EFDB">
      <w:pPr>
        <w:spacing w:before="0" w:after="120" w:line="360" w:lineRule="auto"/>
        <w:ind w:firstLine="480"/>
      </w:pPr>
      <w:r>
        <w:rPr>
          <w:rFonts w:ascii="Times New Roman" w:hAnsi="Times New Roman" w:eastAsia="宋体"/>
          <w:b w:val="0"/>
          <w:sz w:val="24"/>
        </w:rPr>
        <w:t>记录从触发到解除的全过程时间戳、处置人员、现场影像与处置结果，按台建立安全档案，支撑时限考核、责任界定与风险统计分析。</w:t>
      </w:r>
    </w:p>
    <w:p w14:paraId="0FDAEF96">
      <w:pPr>
        <w:spacing w:before="240" w:after="120" w:line="360" w:lineRule="auto"/>
      </w:pPr>
      <w:r>
        <w:rPr>
          <w:rFonts w:ascii="Times New Roman" w:hAnsi="Times New Roman" w:eastAsia="黑体"/>
          <w:b w:val="0"/>
          <w:color w:val="1F3A5F"/>
          <w:sz w:val="28"/>
        </w:rPr>
        <w:t>4.5 响应处置层</w:t>
      </w:r>
    </w:p>
    <w:p w14:paraId="66E306A9">
      <w:pPr>
        <w:spacing w:before="0" w:after="120" w:line="360" w:lineRule="auto"/>
        <w:ind w:firstLine="480"/>
      </w:pPr>
      <w:r>
        <w:rPr>
          <w:rFonts w:ascii="Times New Roman" w:hAnsi="Times New Roman" w:eastAsia="宋体"/>
          <w:b w:val="0"/>
          <w:sz w:val="24"/>
        </w:rPr>
        <w:t>由现场处置力量构成，是警情最终被解决的地方。本层不新增编制、不新建队伍，而是把既有力量按响应时间重新编组：</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1814"/>
        <w:gridCol w:w="4649"/>
      </w:tblGrid>
      <w:tr w14:paraId="6A4B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041" w:type="dxa"/>
            <w:shd w:val="clear" w:color="auto" w:fill="1F3A5F"/>
            <w:vAlign w:val="center"/>
          </w:tcPr>
          <w:p w14:paraId="5241C42C">
            <w:pPr>
              <w:spacing w:before="40" w:after="40" w:line="276" w:lineRule="auto"/>
              <w:jc w:val="center"/>
            </w:pPr>
            <w:r>
              <w:rPr>
                <w:rFonts w:ascii="Times New Roman" w:hAnsi="Times New Roman" w:eastAsia="黑体"/>
                <w:b/>
                <w:color w:val="FFFFFF"/>
                <w:sz w:val="21"/>
              </w:rPr>
              <w:t>力量</w:t>
            </w:r>
          </w:p>
        </w:tc>
        <w:tc>
          <w:tcPr>
            <w:tcW w:w="1814" w:type="dxa"/>
            <w:shd w:val="clear" w:color="auto" w:fill="1F3A5F"/>
            <w:vAlign w:val="center"/>
          </w:tcPr>
          <w:p w14:paraId="5ED18AB6">
            <w:pPr>
              <w:spacing w:before="40" w:after="40" w:line="276" w:lineRule="auto"/>
              <w:jc w:val="center"/>
            </w:pPr>
            <w:r>
              <w:rPr>
                <w:rFonts w:ascii="Times New Roman" w:hAnsi="Times New Roman" w:eastAsia="黑体"/>
                <w:b/>
                <w:color w:val="FFFFFF"/>
                <w:sz w:val="21"/>
              </w:rPr>
              <w:t>响应时限</w:t>
            </w:r>
          </w:p>
        </w:tc>
        <w:tc>
          <w:tcPr>
            <w:tcW w:w="4649" w:type="dxa"/>
            <w:shd w:val="clear" w:color="auto" w:fill="1F3A5F"/>
            <w:vAlign w:val="center"/>
          </w:tcPr>
          <w:p w14:paraId="2643FC7C">
            <w:pPr>
              <w:spacing w:before="40" w:after="40" w:line="276" w:lineRule="auto"/>
              <w:jc w:val="center"/>
            </w:pPr>
            <w:r>
              <w:rPr>
                <w:rFonts w:ascii="Times New Roman" w:hAnsi="Times New Roman" w:eastAsia="黑体"/>
                <w:b/>
                <w:color w:val="FFFFFF"/>
                <w:sz w:val="21"/>
              </w:rPr>
              <w:t>职责</w:t>
            </w:r>
          </w:p>
        </w:tc>
      </w:tr>
      <w:tr w14:paraId="407F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2C022035">
            <w:pPr>
              <w:spacing w:before="40" w:after="40" w:line="276" w:lineRule="auto"/>
              <w:jc w:val="center"/>
            </w:pPr>
            <w:r>
              <w:rPr>
                <w:rFonts w:ascii="Times New Roman" w:hAnsi="Times New Roman" w:eastAsia="宋体"/>
                <w:b w:val="0"/>
                <w:sz w:val="21"/>
              </w:rPr>
              <w:t>物业值班岗</w:t>
            </w:r>
          </w:p>
        </w:tc>
        <w:tc>
          <w:tcPr>
            <w:tcW w:w="1814" w:type="dxa"/>
            <w:vAlign w:val="center"/>
          </w:tcPr>
          <w:p w14:paraId="4857E5A5">
            <w:pPr>
              <w:spacing w:before="40" w:after="40" w:line="276" w:lineRule="auto"/>
              <w:jc w:val="center"/>
            </w:pPr>
            <w:r>
              <w:rPr>
                <w:rFonts w:ascii="Times New Roman" w:hAnsi="Times New Roman" w:eastAsia="宋体"/>
                <w:b w:val="0"/>
                <w:sz w:val="21"/>
              </w:rPr>
              <w:t>接警即时</w:t>
            </w:r>
          </w:p>
        </w:tc>
        <w:tc>
          <w:tcPr>
            <w:tcW w:w="4649" w:type="dxa"/>
            <w:vAlign w:val="center"/>
          </w:tcPr>
          <w:p w14:paraId="527DF2F7">
            <w:pPr>
              <w:spacing w:before="40" w:after="40" w:line="276" w:lineRule="auto"/>
              <w:jc w:val="center"/>
            </w:pPr>
            <w:r>
              <w:rPr>
                <w:rFonts w:ascii="Times New Roman" w:hAnsi="Times New Roman" w:eastAsia="宋体"/>
                <w:b w:val="0"/>
                <w:sz w:val="21"/>
              </w:rPr>
              <w:t>远程可视安抚、确认现场情况、启动就近处置</w:t>
            </w:r>
          </w:p>
        </w:tc>
      </w:tr>
      <w:tr w14:paraId="085D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5C964CB4">
            <w:pPr>
              <w:spacing w:before="40" w:after="40" w:line="276" w:lineRule="auto"/>
              <w:jc w:val="center"/>
            </w:pPr>
            <w:r>
              <w:rPr>
                <w:rFonts w:ascii="Times New Roman" w:hAnsi="Times New Roman" w:eastAsia="宋体"/>
                <w:b w:val="0"/>
                <w:sz w:val="21"/>
              </w:rPr>
              <w:t>最小应急单元</w:t>
            </w:r>
          </w:p>
        </w:tc>
        <w:tc>
          <w:tcPr>
            <w:tcW w:w="1814" w:type="dxa"/>
            <w:vAlign w:val="center"/>
          </w:tcPr>
          <w:p w14:paraId="2BAFA9DA">
            <w:pPr>
              <w:spacing w:before="40" w:after="40" w:line="276" w:lineRule="auto"/>
              <w:jc w:val="center"/>
            </w:pPr>
            <w:r>
              <w:rPr>
                <w:rFonts w:ascii="Times New Roman" w:hAnsi="Times New Roman" w:eastAsia="宋体"/>
                <w:b w:val="0"/>
                <w:sz w:val="21"/>
              </w:rPr>
              <w:t>3分钟内到场</w:t>
            </w:r>
          </w:p>
        </w:tc>
        <w:tc>
          <w:tcPr>
            <w:tcW w:w="4649" w:type="dxa"/>
            <w:vAlign w:val="center"/>
          </w:tcPr>
          <w:p w14:paraId="1FED4957">
            <w:pPr>
              <w:spacing w:before="40" w:after="40" w:line="276" w:lineRule="auto"/>
              <w:jc w:val="center"/>
            </w:pPr>
            <w:r>
              <w:rPr>
                <w:rFonts w:ascii="Times New Roman" w:hAnsi="Times New Roman" w:eastAsia="宋体"/>
                <w:b w:val="0"/>
                <w:sz w:val="21"/>
              </w:rPr>
              <w:t>现场安抚、警戒疏导、先期处置、协助确认电梯状态</w:t>
            </w:r>
          </w:p>
        </w:tc>
      </w:tr>
      <w:tr w14:paraId="402E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3E38C391">
            <w:pPr>
              <w:spacing w:before="40" w:after="40" w:line="276" w:lineRule="auto"/>
              <w:jc w:val="center"/>
            </w:pPr>
            <w:r>
              <w:rPr>
                <w:rFonts w:ascii="Times New Roman" w:hAnsi="Times New Roman" w:eastAsia="宋体"/>
                <w:b w:val="0"/>
                <w:sz w:val="21"/>
              </w:rPr>
              <w:t>维保应急队伍</w:t>
            </w:r>
          </w:p>
        </w:tc>
        <w:tc>
          <w:tcPr>
            <w:tcW w:w="1814" w:type="dxa"/>
            <w:vAlign w:val="center"/>
          </w:tcPr>
          <w:p w14:paraId="21A22888">
            <w:pPr>
              <w:spacing w:before="40" w:after="40" w:line="276" w:lineRule="auto"/>
              <w:jc w:val="center"/>
            </w:pPr>
            <w:r>
              <w:rPr>
                <w:rFonts w:ascii="Times New Roman" w:hAnsi="Times New Roman" w:eastAsia="宋体"/>
                <w:b w:val="0"/>
                <w:sz w:val="21"/>
              </w:rPr>
              <w:t>30分钟内到场</w:t>
            </w:r>
          </w:p>
        </w:tc>
        <w:tc>
          <w:tcPr>
            <w:tcW w:w="4649" w:type="dxa"/>
            <w:vAlign w:val="center"/>
          </w:tcPr>
          <w:p w14:paraId="4BA4F6BF">
            <w:pPr>
              <w:spacing w:before="40" w:after="40" w:line="276" w:lineRule="auto"/>
              <w:jc w:val="center"/>
            </w:pPr>
            <w:r>
              <w:rPr>
                <w:rFonts w:ascii="Times New Roman" w:hAnsi="Times New Roman" w:eastAsia="宋体"/>
                <w:b w:val="0"/>
                <w:sz w:val="21"/>
              </w:rPr>
              <w:t>专业解救、故障排除、电梯停用或恢复判定</w:t>
            </w:r>
          </w:p>
        </w:tc>
      </w:tr>
      <w:tr w14:paraId="70B9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45457DC6">
            <w:pPr>
              <w:spacing w:before="40" w:after="40" w:line="276" w:lineRule="auto"/>
              <w:jc w:val="center"/>
            </w:pPr>
            <w:r>
              <w:rPr>
                <w:rFonts w:ascii="Times New Roman" w:hAnsi="Times New Roman" w:eastAsia="宋体"/>
                <w:b w:val="0"/>
                <w:sz w:val="21"/>
              </w:rPr>
              <w:t>上级平台与专业救援</w:t>
            </w:r>
          </w:p>
        </w:tc>
        <w:tc>
          <w:tcPr>
            <w:tcW w:w="1814" w:type="dxa"/>
            <w:vAlign w:val="center"/>
          </w:tcPr>
          <w:p w14:paraId="53B107F5">
            <w:pPr>
              <w:spacing w:before="40" w:after="40" w:line="276" w:lineRule="auto"/>
              <w:jc w:val="center"/>
            </w:pPr>
            <w:r>
              <w:rPr>
                <w:rFonts w:ascii="Times New Roman" w:hAnsi="Times New Roman" w:eastAsia="宋体"/>
                <w:b w:val="0"/>
                <w:sz w:val="21"/>
              </w:rPr>
              <w:t>按预案启动</w:t>
            </w:r>
          </w:p>
        </w:tc>
        <w:tc>
          <w:tcPr>
            <w:tcW w:w="4649" w:type="dxa"/>
            <w:vAlign w:val="center"/>
          </w:tcPr>
          <w:p w14:paraId="5DF6CE8A">
            <w:pPr>
              <w:spacing w:before="40" w:after="40" w:line="276" w:lineRule="auto"/>
              <w:jc w:val="center"/>
            </w:pPr>
            <w:r>
              <w:rPr>
                <w:rFonts w:ascii="Times New Roman" w:hAnsi="Times New Roman" w:eastAsia="宋体"/>
                <w:b w:val="0"/>
                <w:sz w:val="21"/>
              </w:rPr>
              <w:t>96333电梯应急处置服务平台、119、120、街道应急指挥中心兜底</w:t>
            </w:r>
          </w:p>
        </w:tc>
      </w:tr>
    </w:tbl>
    <w:p w14:paraId="47C2406A">
      <w:pPr>
        <w:spacing w:after="0"/>
      </w:pPr>
    </w:p>
    <w:p w14:paraId="243B8A58">
      <w:pPr>
        <w:spacing w:before="360" w:after="200" w:line="360" w:lineRule="auto"/>
      </w:pPr>
      <w:r>
        <w:rPr>
          <w:rFonts w:ascii="Times New Roman" w:hAnsi="Times New Roman" w:eastAsia="黑体"/>
          <w:b w:val="0"/>
          <w:color w:val="1F3A5F"/>
          <w:sz w:val="32"/>
        </w:rPr>
        <w:t>五、核心功能</w:t>
      </w:r>
    </w:p>
    <w:p w14:paraId="43A9D10B">
      <w:pPr>
        <w:spacing w:before="240" w:after="120" w:line="360" w:lineRule="auto"/>
      </w:pPr>
      <w:r>
        <w:rPr>
          <w:rFonts w:ascii="Times New Roman" w:hAnsi="Times New Roman" w:eastAsia="黑体"/>
          <w:b w:val="0"/>
          <w:color w:val="1F3A5F"/>
          <w:sz w:val="28"/>
        </w:rPr>
        <w:t>5.1 多源一键报警</w:t>
      </w:r>
    </w:p>
    <w:p w14:paraId="473DD967">
      <w:pPr>
        <w:spacing w:before="0" w:after="120" w:line="360" w:lineRule="auto"/>
        <w:ind w:firstLine="480"/>
      </w:pPr>
      <w:r>
        <w:rPr>
          <w:rFonts w:ascii="Times New Roman" w:hAnsi="Times New Roman" w:eastAsia="宋体"/>
          <w:b w:val="0"/>
          <w:sz w:val="24"/>
        </w:rPr>
        <w:t>本方案将"一键报警"从单一按钮扩展为四路并行的触发机制，从根本上解决"报警依赖被困人主动呼救"的问题。</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3175"/>
        <w:gridCol w:w="3402"/>
      </w:tblGrid>
      <w:tr w14:paraId="4BA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928" w:type="dxa"/>
            <w:shd w:val="clear" w:color="auto" w:fill="1F3A5F"/>
            <w:vAlign w:val="center"/>
          </w:tcPr>
          <w:p w14:paraId="534C0815">
            <w:pPr>
              <w:spacing w:before="40" w:after="40" w:line="276" w:lineRule="auto"/>
              <w:jc w:val="center"/>
            </w:pPr>
            <w:r>
              <w:rPr>
                <w:rFonts w:ascii="Times New Roman" w:hAnsi="Times New Roman" w:eastAsia="黑体"/>
                <w:b/>
                <w:color w:val="FFFFFF"/>
                <w:sz w:val="21"/>
              </w:rPr>
              <w:t>触发方式</w:t>
            </w:r>
          </w:p>
        </w:tc>
        <w:tc>
          <w:tcPr>
            <w:tcW w:w="3175" w:type="dxa"/>
            <w:shd w:val="clear" w:color="auto" w:fill="1F3A5F"/>
            <w:vAlign w:val="center"/>
          </w:tcPr>
          <w:p w14:paraId="4783BB7F">
            <w:pPr>
              <w:spacing w:before="40" w:after="40" w:line="276" w:lineRule="auto"/>
              <w:jc w:val="center"/>
            </w:pPr>
            <w:r>
              <w:rPr>
                <w:rFonts w:ascii="Times New Roman" w:hAnsi="Times New Roman" w:eastAsia="黑体"/>
                <w:b/>
                <w:color w:val="FFFFFF"/>
                <w:sz w:val="21"/>
              </w:rPr>
              <w:t>触发条件</w:t>
            </w:r>
          </w:p>
        </w:tc>
        <w:tc>
          <w:tcPr>
            <w:tcW w:w="3402" w:type="dxa"/>
            <w:shd w:val="clear" w:color="auto" w:fill="1F3A5F"/>
            <w:vAlign w:val="center"/>
          </w:tcPr>
          <w:p w14:paraId="089E1972">
            <w:pPr>
              <w:spacing w:before="40" w:after="40" w:line="276" w:lineRule="auto"/>
              <w:jc w:val="center"/>
            </w:pPr>
            <w:r>
              <w:rPr>
                <w:rFonts w:ascii="Times New Roman" w:hAnsi="Times New Roman" w:eastAsia="黑体"/>
                <w:b/>
                <w:color w:val="FFFFFF"/>
                <w:sz w:val="21"/>
              </w:rPr>
              <w:t>解决的问题</w:t>
            </w:r>
          </w:p>
        </w:tc>
      </w:tr>
      <w:tr w14:paraId="0E23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6C1807DB">
            <w:pPr>
              <w:spacing w:before="40" w:after="40" w:line="276" w:lineRule="auto"/>
              <w:jc w:val="center"/>
            </w:pPr>
            <w:r>
              <w:rPr>
                <w:rFonts w:ascii="Times New Roman" w:hAnsi="Times New Roman" w:eastAsia="宋体"/>
                <w:b w:val="0"/>
                <w:sz w:val="21"/>
              </w:rPr>
              <w:t>人工一键触发</w:t>
            </w:r>
          </w:p>
        </w:tc>
        <w:tc>
          <w:tcPr>
            <w:tcW w:w="3175" w:type="dxa"/>
            <w:vAlign w:val="center"/>
          </w:tcPr>
          <w:p w14:paraId="186FC640">
            <w:pPr>
              <w:spacing w:before="40" w:after="40" w:line="276" w:lineRule="auto"/>
              <w:jc w:val="center"/>
            </w:pPr>
            <w:r>
              <w:rPr>
                <w:rFonts w:ascii="Times New Roman" w:hAnsi="Times New Roman" w:eastAsia="宋体"/>
                <w:b w:val="0"/>
                <w:sz w:val="21"/>
              </w:rPr>
              <w:t>被困人员按下报警按钮或语音呼救</w:t>
            </w:r>
          </w:p>
        </w:tc>
        <w:tc>
          <w:tcPr>
            <w:tcW w:w="3402" w:type="dxa"/>
            <w:vAlign w:val="center"/>
          </w:tcPr>
          <w:p w14:paraId="03D941A9">
            <w:pPr>
              <w:spacing w:before="40" w:after="40" w:line="276" w:lineRule="auto"/>
              <w:jc w:val="center"/>
            </w:pPr>
            <w:r>
              <w:rPr>
                <w:rFonts w:ascii="Times New Roman" w:hAnsi="Times New Roman" w:eastAsia="宋体"/>
                <w:b w:val="0"/>
                <w:sz w:val="21"/>
              </w:rPr>
              <w:t>常规主动求助通道</w:t>
            </w:r>
          </w:p>
        </w:tc>
      </w:tr>
      <w:tr w14:paraId="07E4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6320807C">
            <w:pPr>
              <w:spacing w:before="40" w:after="40" w:line="276" w:lineRule="auto"/>
              <w:jc w:val="center"/>
            </w:pPr>
            <w:r>
              <w:rPr>
                <w:rFonts w:ascii="Times New Roman" w:hAnsi="Times New Roman" w:eastAsia="宋体"/>
                <w:b w:val="0"/>
                <w:sz w:val="21"/>
              </w:rPr>
              <w:t>AI自动识别触发</w:t>
            </w:r>
          </w:p>
        </w:tc>
        <w:tc>
          <w:tcPr>
            <w:tcW w:w="3175" w:type="dxa"/>
            <w:vAlign w:val="center"/>
          </w:tcPr>
          <w:p w14:paraId="0BD66D9C">
            <w:pPr>
              <w:spacing w:before="40" w:after="40" w:line="276" w:lineRule="auto"/>
              <w:jc w:val="center"/>
            </w:pPr>
            <w:r>
              <w:rPr>
                <w:rFonts w:ascii="Times New Roman" w:hAnsi="Times New Roman" w:eastAsia="宋体"/>
                <w:b w:val="0"/>
                <w:sz w:val="21"/>
              </w:rPr>
              <w:t>视频识别到轿厢内人员被困、拍门、呼救、异常滞留等特征</w:t>
            </w:r>
          </w:p>
        </w:tc>
        <w:tc>
          <w:tcPr>
            <w:tcW w:w="3402" w:type="dxa"/>
            <w:vAlign w:val="center"/>
          </w:tcPr>
          <w:p w14:paraId="1B41E4F0">
            <w:pPr>
              <w:spacing w:before="40" w:after="40" w:line="276" w:lineRule="auto"/>
              <w:jc w:val="center"/>
            </w:pPr>
            <w:r>
              <w:rPr>
                <w:rFonts w:ascii="Times New Roman" w:hAnsi="Times New Roman" w:eastAsia="宋体"/>
                <w:b w:val="0"/>
                <w:sz w:val="21"/>
              </w:rPr>
              <w:t>老人儿童不会用、够不到、无人应答</w:t>
            </w:r>
          </w:p>
        </w:tc>
      </w:tr>
      <w:tr w14:paraId="5021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19C2BE40">
            <w:pPr>
              <w:spacing w:before="40" w:after="40" w:line="276" w:lineRule="auto"/>
              <w:jc w:val="center"/>
            </w:pPr>
            <w:r>
              <w:rPr>
                <w:rFonts w:ascii="Times New Roman" w:hAnsi="Times New Roman" w:eastAsia="宋体"/>
                <w:b w:val="0"/>
                <w:sz w:val="21"/>
              </w:rPr>
              <w:t>状态研判触发</w:t>
            </w:r>
          </w:p>
        </w:tc>
        <w:tc>
          <w:tcPr>
            <w:tcW w:w="3175" w:type="dxa"/>
            <w:vAlign w:val="center"/>
          </w:tcPr>
          <w:p w14:paraId="6B90E79B">
            <w:pPr>
              <w:spacing w:before="40" w:after="40" w:line="276" w:lineRule="auto"/>
              <w:jc w:val="center"/>
            </w:pPr>
            <w:r>
              <w:rPr>
                <w:rFonts w:ascii="Times New Roman" w:hAnsi="Times New Roman" w:eastAsia="宋体"/>
                <w:b w:val="0"/>
                <w:sz w:val="21"/>
              </w:rPr>
              <w:t>电梯急停、困人开关动作、超时停梯且轿厢内有人</w:t>
            </w:r>
          </w:p>
        </w:tc>
        <w:tc>
          <w:tcPr>
            <w:tcW w:w="3402" w:type="dxa"/>
            <w:vAlign w:val="center"/>
          </w:tcPr>
          <w:p w14:paraId="2BD1D7A4">
            <w:pPr>
              <w:spacing w:before="40" w:after="40" w:line="276" w:lineRule="auto"/>
              <w:jc w:val="center"/>
            </w:pPr>
            <w:r>
              <w:rPr>
                <w:rFonts w:ascii="Times New Roman" w:hAnsi="Times New Roman" w:eastAsia="宋体"/>
                <w:b w:val="0"/>
                <w:sz w:val="21"/>
              </w:rPr>
              <w:t>被困人未求助或已失去行动能力</w:t>
            </w:r>
          </w:p>
        </w:tc>
      </w:tr>
      <w:tr w14:paraId="4CC7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0958207B">
            <w:pPr>
              <w:spacing w:before="40" w:after="40" w:line="276" w:lineRule="auto"/>
              <w:jc w:val="center"/>
            </w:pPr>
            <w:r>
              <w:rPr>
                <w:rFonts w:ascii="Times New Roman" w:hAnsi="Times New Roman" w:eastAsia="宋体"/>
                <w:b w:val="0"/>
                <w:sz w:val="21"/>
              </w:rPr>
              <w:t>无人响应兜底</w:t>
            </w:r>
          </w:p>
        </w:tc>
        <w:tc>
          <w:tcPr>
            <w:tcW w:w="3175" w:type="dxa"/>
            <w:vAlign w:val="center"/>
          </w:tcPr>
          <w:p w14:paraId="32B77A44">
            <w:pPr>
              <w:spacing w:before="40" w:after="40" w:line="276" w:lineRule="auto"/>
              <w:jc w:val="center"/>
            </w:pPr>
            <w:r>
              <w:rPr>
                <w:rFonts w:ascii="Times New Roman" w:hAnsi="Times New Roman" w:eastAsia="宋体"/>
                <w:b w:val="0"/>
                <w:sz w:val="21"/>
              </w:rPr>
              <w:t>法定紧急报警装置触发后设定时限内无人接听</w:t>
            </w:r>
          </w:p>
        </w:tc>
        <w:tc>
          <w:tcPr>
            <w:tcW w:w="3402" w:type="dxa"/>
            <w:vAlign w:val="center"/>
          </w:tcPr>
          <w:p w14:paraId="39176865">
            <w:pPr>
              <w:spacing w:before="40" w:after="40" w:line="276" w:lineRule="auto"/>
              <w:jc w:val="center"/>
            </w:pPr>
            <w:r>
              <w:rPr>
                <w:rFonts w:ascii="Times New Roman" w:hAnsi="Times New Roman" w:eastAsia="宋体"/>
                <w:b w:val="0"/>
                <w:sz w:val="21"/>
              </w:rPr>
              <w:t>落实政策关于"无人响应时自动识别并自助派单"的明确要求</w:t>
            </w:r>
          </w:p>
        </w:tc>
      </w:tr>
    </w:tbl>
    <w:p w14:paraId="256816DC">
      <w:pPr>
        <w:spacing w:after="0"/>
      </w:pPr>
    </w:p>
    <w:p w14:paraId="229D8FA3">
      <w:pPr>
        <w:spacing w:before="240" w:after="120" w:line="360" w:lineRule="auto"/>
      </w:pPr>
      <w:r>
        <w:rPr>
          <w:rFonts w:ascii="Times New Roman" w:hAnsi="Times New Roman" w:eastAsia="黑体"/>
          <w:b w:val="0"/>
          <w:color w:val="1F3A5F"/>
          <w:sz w:val="28"/>
        </w:rPr>
        <w:t>5.2 视频核警与警情证据包</w:t>
      </w:r>
    </w:p>
    <w:p w14:paraId="1152B7B5">
      <w:pPr>
        <w:spacing w:before="0" w:after="120" w:line="360" w:lineRule="auto"/>
        <w:ind w:firstLine="480"/>
      </w:pPr>
      <w:r>
        <w:rPr>
          <w:rFonts w:ascii="Times New Roman" w:hAnsi="Times New Roman" w:eastAsia="宋体"/>
          <w:b w:val="0"/>
          <w:sz w:val="24"/>
        </w:rPr>
        <w:t>这是本方案区别于传统接警模式的关键能力。警情推送时同步附带现场证据包，使接警方"先看见、再出人"，包括：</w:t>
      </w:r>
    </w:p>
    <w:p w14:paraId="6169E102">
      <w:pPr>
        <w:spacing w:after="80" w:line="360" w:lineRule="auto"/>
        <w:ind w:left="480" w:firstLine="0"/>
      </w:pPr>
      <w:r>
        <w:rPr>
          <w:rFonts w:ascii="Times New Roman" w:hAnsi="Times New Roman" w:eastAsia="宋体"/>
          <w:b w:val="0"/>
          <w:sz w:val="24"/>
        </w:rPr>
        <w:t>— 现场实时画面与关键帧快照；</w:t>
      </w:r>
    </w:p>
    <w:p w14:paraId="24EF9DAF">
      <w:pPr>
        <w:spacing w:after="80" w:line="360" w:lineRule="auto"/>
        <w:ind w:left="480" w:firstLine="0"/>
      </w:pPr>
      <w:r>
        <w:rPr>
          <w:rFonts w:ascii="Times New Roman" w:hAnsi="Times New Roman" w:eastAsia="宋体"/>
          <w:b w:val="0"/>
          <w:sz w:val="24"/>
        </w:rPr>
        <w:t>— 被困人数、是否含老人、儿童、孕妇等特殊群体；</w:t>
      </w:r>
    </w:p>
    <w:p w14:paraId="6C92C7D0">
      <w:pPr>
        <w:spacing w:after="80" w:line="360" w:lineRule="auto"/>
        <w:ind w:left="480" w:firstLine="0"/>
      </w:pPr>
      <w:r>
        <w:rPr>
          <w:rFonts w:ascii="Times New Roman" w:hAnsi="Times New Roman" w:eastAsia="宋体"/>
          <w:b w:val="0"/>
          <w:sz w:val="24"/>
        </w:rPr>
        <w:t>— 人员状态（站立、蹲坐、倒地、剧烈拍门等）；</w:t>
      </w:r>
    </w:p>
    <w:p w14:paraId="03F12196">
      <w:pPr>
        <w:spacing w:after="80" w:line="360" w:lineRule="auto"/>
        <w:ind w:left="480" w:firstLine="0"/>
      </w:pPr>
      <w:r>
        <w:rPr>
          <w:rFonts w:ascii="Times New Roman" w:hAnsi="Times New Roman" w:eastAsia="宋体"/>
          <w:b w:val="0"/>
          <w:sz w:val="24"/>
        </w:rPr>
        <w:t>— 电梯位置（楼栋、单元、梯号、当前楼层、门态）；</w:t>
      </w:r>
    </w:p>
    <w:p w14:paraId="03C2EB0B">
      <w:pPr>
        <w:spacing w:after="80" w:line="360" w:lineRule="auto"/>
        <w:ind w:left="480" w:firstLine="0"/>
      </w:pPr>
      <w:r>
        <w:rPr>
          <w:rFonts w:ascii="Times New Roman" w:hAnsi="Times New Roman" w:eastAsia="宋体"/>
          <w:b w:val="0"/>
          <w:sz w:val="24"/>
        </w:rPr>
        <w:t>— 电梯运行状态与故障代码（如可获取）。</w:t>
      </w:r>
    </w:p>
    <w:p w14:paraId="32858355">
      <w:pPr>
        <w:spacing w:before="0" w:after="120" w:line="360" w:lineRule="auto"/>
        <w:ind w:firstLine="480"/>
      </w:pPr>
      <w:r>
        <w:rPr>
          <w:rFonts w:ascii="Times New Roman" w:hAnsi="Times New Roman" w:eastAsia="宋体"/>
          <w:b w:val="0"/>
          <w:sz w:val="24"/>
        </w:rPr>
        <w:t>这一能力带来两个直接效果：一是显著降低无效出警，避免救援力量空跑；二是对真实险情实现响应升级，凡识别出老人独困、人员倒地等高风险特征的警情，自动提升等级并同步启动医疗急救通道。</w:t>
      </w:r>
    </w:p>
    <w:p w14:paraId="39FF634D">
      <w:pPr>
        <w:spacing w:before="240" w:after="120" w:line="360" w:lineRule="auto"/>
      </w:pPr>
      <w:r>
        <w:rPr>
          <w:rFonts w:ascii="Times New Roman" w:hAnsi="Times New Roman" w:eastAsia="黑体"/>
          <w:b w:val="0"/>
          <w:color w:val="1F3A5F"/>
          <w:sz w:val="28"/>
        </w:rPr>
        <w:t>5.3 分级派单与响应闭环</w:t>
      </w:r>
    </w:p>
    <w:p w14:paraId="10BDB7AB">
      <w:pPr>
        <w:spacing w:before="0" w:after="120" w:line="360" w:lineRule="auto"/>
        <w:ind w:firstLine="480"/>
      </w:pPr>
      <w:r>
        <w:rPr>
          <w:rFonts w:ascii="Times New Roman" w:hAnsi="Times New Roman" w:eastAsia="宋体"/>
          <w:b w:val="0"/>
          <w:sz w:val="24"/>
        </w:rPr>
        <w:t>警情按事件性质与风险程度分为三级，对应不同的派发范围与时限要求：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2835"/>
        <w:gridCol w:w="2608"/>
        <w:gridCol w:w="1587"/>
      </w:tblGrid>
      <w:tr w14:paraId="49B0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474" w:type="dxa"/>
            <w:shd w:val="clear" w:color="auto" w:fill="1F3A5F"/>
            <w:vAlign w:val="center"/>
          </w:tcPr>
          <w:p w14:paraId="51B2F273">
            <w:pPr>
              <w:spacing w:before="40" w:after="40" w:line="276" w:lineRule="auto"/>
              <w:jc w:val="center"/>
            </w:pPr>
            <w:r>
              <w:rPr>
                <w:rFonts w:ascii="Times New Roman" w:hAnsi="Times New Roman" w:eastAsia="黑体"/>
                <w:b/>
                <w:color w:val="FFFFFF"/>
                <w:sz w:val="21"/>
              </w:rPr>
              <w:t>等级</w:t>
            </w:r>
          </w:p>
        </w:tc>
        <w:tc>
          <w:tcPr>
            <w:tcW w:w="2835" w:type="dxa"/>
            <w:shd w:val="clear" w:color="auto" w:fill="1F3A5F"/>
            <w:vAlign w:val="center"/>
          </w:tcPr>
          <w:p w14:paraId="75401C5D">
            <w:pPr>
              <w:spacing w:before="40" w:after="40" w:line="276" w:lineRule="auto"/>
              <w:jc w:val="center"/>
            </w:pPr>
            <w:r>
              <w:rPr>
                <w:rFonts w:ascii="Times New Roman" w:hAnsi="Times New Roman" w:eastAsia="黑体"/>
                <w:b/>
                <w:color w:val="FFFFFF"/>
                <w:sz w:val="21"/>
              </w:rPr>
              <w:t>典型情形</w:t>
            </w:r>
          </w:p>
        </w:tc>
        <w:tc>
          <w:tcPr>
            <w:tcW w:w="2608" w:type="dxa"/>
            <w:shd w:val="clear" w:color="auto" w:fill="1F3A5F"/>
            <w:vAlign w:val="center"/>
          </w:tcPr>
          <w:p w14:paraId="5B784636">
            <w:pPr>
              <w:spacing w:before="40" w:after="40" w:line="276" w:lineRule="auto"/>
              <w:jc w:val="center"/>
            </w:pPr>
            <w:r>
              <w:rPr>
                <w:rFonts w:ascii="Times New Roman" w:hAnsi="Times New Roman" w:eastAsia="黑体"/>
                <w:b/>
                <w:color w:val="FFFFFF"/>
                <w:sz w:val="21"/>
              </w:rPr>
              <w:t>派发范围</w:t>
            </w:r>
          </w:p>
        </w:tc>
        <w:tc>
          <w:tcPr>
            <w:tcW w:w="1587" w:type="dxa"/>
            <w:shd w:val="clear" w:color="auto" w:fill="1F3A5F"/>
            <w:vAlign w:val="center"/>
          </w:tcPr>
          <w:p w14:paraId="7F3D5DF7">
            <w:pPr>
              <w:spacing w:before="40" w:after="40" w:line="276" w:lineRule="auto"/>
              <w:jc w:val="center"/>
            </w:pPr>
            <w:r>
              <w:rPr>
                <w:rFonts w:ascii="Times New Roman" w:hAnsi="Times New Roman" w:eastAsia="黑体"/>
                <w:b/>
                <w:color w:val="FFFFFF"/>
                <w:sz w:val="21"/>
              </w:rPr>
              <w:t>时限要求</w:t>
            </w:r>
          </w:p>
        </w:tc>
      </w:tr>
      <w:tr w14:paraId="6EBB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3098D806">
            <w:pPr>
              <w:spacing w:before="40" w:after="40" w:line="276" w:lineRule="auto"/>
              <w:jc w:val="center"/>
            </w:pPr>
            <w:r>
              <w:rPr>
                <w:rFonts w:ascii="Times New Roman" w:hAnsi="Times New Roman" w:eastAsia="宋体"/>
                <w:b w:val="0"/>
                <w:sz w:val="21"/>
              </w:rPr>
              <w:t>一级（紧急）</w:t>
            </w:r>
          </w:p>
        </w:tc>
        <w:tc>
          <w:tcPr>
            <w:tcW w:w="2835" w:type="dxa"/>
            <w:vAlign w:val="center"/>
          </w:tcPr>
          <w:p w14:paraId="4CAA85D7">
            <w:pPr>
              <w:spacing w:before="40" w:after="40" w:line="276" w:lineRule="auto"/>
              <w:jc w:val="center"/>
            </w:pPr>
            <w:r>
              <w:rPr>
                <w:rFonts w:ascii="Times New Roman" w:hAnsi="Times New Roman" w:eastAsia="宋体"/>
                <w:b w:val="0"/>
                <w:sz w:val="21"/>
              </w:rPr>
              <w:t>人员倒地、健康急症、轿厢内治安事件、伴随火情</w:t>
            </w:r>
          </w:p>
        </w:tc>
        <w:tc>
          <w:tcPr>
            <w:tcW w:w="2608" w:type="dxa"/>
            <w:vAlign w:val="center"/>
          </w:tcPr>
          <w:p w14:paraId="70C5E5BA">
            <w:pPr>
              <w:spacing w:before="40" w:after="40" w:line="276" w:lineRule="auto"/>
              <w:jc w:val="center"/>
            </w:pPr>
            <w:r>
              <w:rPr>
                <w:rFonts w:ascii="Times New Roman" w:hAnsi="Times New Roman" w:eastAsia="宋体"/>
                <w:b w:val="0"/>
                <w:sz w:val="21"/>
              </w:rPr>
              <w:t>物业＋最小应急单元＋120/110/119＋上级平台</w:t>
            </w:r>
          </w:p>
        </w:tc>
        <w:tc>
          <w:tcPr>
            <w:tcW w:w="1587" w:type="dxa"/>
            <w:vAlign w:val="center"/>
          </w:tcPr>
          <w:p w14:paraId="04A1FC56">
            <w:pPr>
              <w:spacing w:before="40" w:after="40" w:line="276" w:lineRule="auto"/>
              <w:jc w:val="center"/>
            </w:pPr>
            <w:r>
              <w:rPr>
                <w:rFonts w:ascii="Times New Roman" w:hAnsi="Times New Roman" w:eastAsia="宋体"/>
                <w:b w:val="0"/>
                <w:sz w:val="21"/>
              </w:rPr>
              <w:t>1分钟核警，3分钟到场</w:t>
            </w:r>
          </w:p>
        </w:tc>
      </w:tr>
      <w:tr w14:paraId="405D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6A035F40">
            <w:pPr>
              <w:spacing w:before="40" w:after="40" w:line="276" w:lineRule="auto"/>
              <w:jc w:val="center"/>
            </w:pPr>
            <w:r>
              <w:rPr>
                <w:rFonts w:ascii="Times New Roman" w:hAnsi="Times New Roman" w:eastAsia="宋体"/>
                <w:b w:val="0"/>
                <w:sz w:val="21"/>
              </w:rPr>
              <w:t>二级（重要）</w:t>
            </w:r>
          </w:p>
        </w:tc>
        <w:tc>
          <w:tcPr>
            <w:tcW w:w="2835" w:type="dxa"/>
            <w:vAlign w:val="center"/>
          </w:tcPr>
          <w:p w14:paraId="246864F1">
            <w:pPr>
              <w:spacing w:before="40" w:after="40" w:line="276" w:lineRule="auto"/>
              <w:jc w:val="center"/>
            </w:pPr>
            <w:r>
              <w:rPr>
                <w:rFonts w:ascii="Times New Roman" w:hAnsi="Times New Roman" w:eastAsia="宋体"/>
                <w:b w:val="0"/>
                <w:sz w:val="21"/>
              </w:rPr>
              <w:t>确认困人、特殊群体被困、停电困人</w:t>
            </w:r>
          </w:p>
        </w:tc>
        <w:tc>
          <w:tcPr>
            <w:tcW w:w="2608" w:type="dxa"/>
            <w:vAlign w:val="center"/>
          </w:tcPr>
          <w:p w14:paraId="65FD4083">
            <w:pPr>
              <w:spacing w:before="40" w:after="40" w:line="276" w:lineRule="auto"/>
              <w:jc w:val="center"/>
            </w:pPr>
            <w:r>
              <w:rPr>
                <w:rFonts w:ascii="Times New Roman" w:hAnsi="Times New Roman" w:eastAsia="宋体"/>
                <w:b w:val="0"/>
                <w:sz w:val="21"/>
              </w:rPr>
              <w:t>物业＋最小应急单元＋维保应急队伍</w:t>
            </w:r>
          </w:p>
        </w:tc>
        <w:tc>
          <w:tcPr>
            <w:tcW w:w="1587" w:type="dxa"/>
            <w:vAlign w:val="center"/>
          </w:tcPr>
          <w:p w14:paraId="5264222A">
            <w:pPr>
              <w:spacing w:before="40" w:after="40" w:line="276" w:lineRule="auto"/>
              <w:jc w:val="center"/>
            </w:pPr>
            <w:r>
              <w:rPr>
                <w:rFonts w:ascii="Times New Roman" w:hAnsi="Times New Roman" w:eastAsia="宋体"/>
                <w:b w:val="0"/>
                <w:sz w:val="21"/>
              </w:rPr>
              <w:t>1分钟核警，3分钟到场，30分钟解救</w:t>
            </w:r>
          </w:p>
        </w:tc>
      </w:tr>
      <w:tr w14:paraId="53A2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771EBCE1">
            <w:pPr>
              <w:spacing w:before="40" w:after="40" w:line="276" w:lineRule="auto"/>
              <w:jc w:val="center"/>
            </w:pPr>
            <w:r>
              <w:rPr>
                <w:rFonts w:ascii="Times New Roman" w:hAnsi="Times New Roman" w:eastAsia="宋体"/>
                <w:b w:val="0"/>
                <w:sz w:val="21"/>
              </w:rPr>
              <w:t>三级（一般）</w:t>
            </w:r>
          </w:p>
        </w:tc>
        <w:tc>
          <w:tcPr>
            <w:tcW w:w="2835" w:type="dxa"/>
            <w:vAlign w:val="center"/>
          </w:tcPr>
          <w:p w14:paraId="2901ED88">
            <w:pPr>
              <w:spacing w:before="40" w:after="40" w:line="276" w:lineRule="auto"/>
              <w:jc w:val="center"/>
            </w:pPr>
            <w:r>
              <w:rPr>
                <w:rFonts w:ascii="Times New Roman" w:hAnsi="Times New Roman" w:eastAsia="宋体"/>
                <w:b w:val="0"/>
                <w:sz w:val="21"/>
              </w:rPr>
              <w:t>轻微故障停梯且轿厢内无人、设备离线</w:t>
            </w:r>
          </w:p>
        </w:tc>
        <w:tc>
          <w:tcPr>
            <w:tcW w:w="2608" w:type="dxa"/>
            <w:vAlign w:val="center"/>
          </w:tcPr>
          <w:p w14:paraId="54B326E7">
            <w:pPr>
              <w:spacing w:before="40" w:after="40" w:line="276" w:lineRule="auto"/>
              <w:jc w:val="center"/>
            </w:pPr>
            <w:r>
              <w:rPr>
                <w:rFonts w:ascii="Times New Roman" w:hAnsi="Times New Roman" w:eastAsia="宋体"/>
                <w:b w:val="0"/>
                <w:sz w:val="21"/>
              </w:rPr>
              <w:t>物业＋维保单位</w:t>
            </w:r>
          </w:p>
        </w:tc>
        <w:tc>
          <w:tcPr>
            <w:tcW w:w="1587" w:type="dxa"/>
            <w:vAlign w:val="center"/>
          </w:tcPr>
          <w:p w14:paraId="65F327F8">
            <w:pPr>
              <w:spacing w:before="40" w:after="40" w:line="276" w:lineRule="auto"/>
              <w:jc w:val="center"/>
            </w:pPr>
            <w:r>
              <w:rPr>
                <w:rFonts w:ascii="Times New Roman" w:hAnsi="Times New Roman" w:eastAsia="宋体"/>
                <w:b w:val="0"/>
                <w:sz w:val="21"/>
              </w:rPr>
              <w:t>按日常工单流转</w:t>
            </w:r>
          </w:p>
        </w:tc>
      </w:tr>
    </w:tbl>
    <w:p w14:paraId="1EE42F2C">
      <w:pPr>
        <w:spacing w:after="0"/>
      </w:pPr>
    </w:p>
    <w:p w14:paraId="36452C5B">
      <w:pPr>
        <w:spacing w:before="0" w:after="120" w:line="360" w:lineRule="auto"/>
        <w:ind w:firstLine="480"/>
      </w:pPr>
      <w:r>
        <w:rPr>
          <w:rFonts w:ascii="Times New Roman" w:hAnsi="Times New Roman" w:eastAsia="宋体"/>
          <w:b w:val="0"/>
          <w:sz w:val="24"/>
        </w:rPr>
        <w:t>各环节响应时限由平台自动计时，超时未响应自动向上一级升级并告警，杜绝警情沉底。</w:t>
      </w:r>
    </w:p>
    <w:p w14:paraId="2492C2C9">
      <w:pPr>
        <w:spacing w:before="240" w:after="120" w:line="360" w:lineRule="auto"/>
      </w:pPr>
      <w:r>
        <w:rPr>
          <w:rFonts w:ascii="Times New Roman" w:hAnsi="Times New Roman" w:eastAsia="黑体"/>
          <w:b w:val="0"/>
          <w:color w:val="1F3A5F"/>
          <w:sz w:val="28"/>
        </w:rPr>
        <w:t>5.4 可视对讲与远程安抚</w:t>
      </w:r>
    </w:p>
    <w:p w14:paraId="599A89BA">
      <w:pPr>
        <w:spacing w:before="0" w:after="120" w:line="360" w:lineRule="auto"/>
        <w:ind w:firstLine="480"/>
      </w:pPr>
      <w:r>
        <w:rPr>
          <w:rFonts w:ascii="Times New Roman" w:hAnsi="Times New Roman" w:eastAsia="宋体"/>
          <w:b w:val="0"/>
          <w:sz w:val="24"/>
        </w:rPr>
        <w:t>警情确认后，值班人员可立即与轿厢内建立双向音视频通话，第一时间告知"我们已经看到你、救援已经出发、请勿自行扒门"，有效缓解被困人员恐慌情绪，避免因盲目自救造成二次伤害。对老人、儿童被困等情形，可保持通话陪伴直至救援到场。</w:t>
      </w:r>
    </w:p>
    <w:p w14:paraId="0350EE81">
      <w:pPr>
        <w:spacing w:before="240" w:after="120" w:line="360" w:lineRule="auto"/>
      </w:pPr>
      <w:r>
        <w:rPr>
          <w:rFonts w:ascii="Times New Roman" w:hAnsi="Times New Roman" w:eastAsia="黑体"/>
          <w:b w:val="0"/>
          <w:color w:val="1F3A5F"/>
          <w:sz w:val="28"/>
        </w:rPr>
        <w:t>5.5 锂电池车辆入梯拦截</w:t>
      </w:r>
    </w:p>
    <w:p w14:paraId="0E8CCC45">
      <w:pPr>
        <w:spacing w:before="0" w:after="120" w:line="360" w:lineRule="auto"/>
        <w:ind w:firstLine="480"/>
      </w:pPr>
      <w:r>
        <w:rPr>
          <w:rFonts w:ascii="Times New Roman" w:hAnsi="Times New Roman" w:eastAsia="宋体"/>
          <w:b w:val="0"/>
          <w:sz w:val="24"/>
        </w:rPr>
        <w:t>电动自行车及锂电池进楼入户是当前住宅消防安全的突出风险源，而电梯是其进入住宅楼层的唯一通道。前端AI算法自动识别电动车、电池入梯行为，即时语音劝阻并联动梯控保持开门不运行，从物理上阻断风险传递路径。该功能属于风险前置拦截，是电梯场景安全能力的组成部分，与消防安全治理工作直接衔接。</w:t>
      </w:r>
    </w:p>
    <w:p w14:paraId="473D9571">
      <w:pPr>
        <w:spacing w:before="240" w:after="120" w:line="360" w:lineRule="auto"/>
      </w:pPr>
      <w:r>
        <w:rPr>
          <w:rFonts w:ascii="Times New Roman" w:hAnsi="Times New Roman" w:eastAsia="黑体"/>
          <w:b w:val="0"/>
          <w:color w:val="1F3A5F"/>
          <w:sz w:val="28"/>
        </w:rPr>
        <w:t>5.6 轿厢内人员异常状态识别</w:t>
      </w:r>
    </w:p>
    <w:p w14:paraId="25CB16AF">
      <w:pPr>
        <w:spacing w:before="0" w:after="120" w:line="360" w:lineRule="auto"/>
        <w:ind w:firstLine="480"/>
      </w:pPr>
      <w:r>
        <w:rPr>
          <w:rFonts w:ascii="Times New Roman" w:hAnsi="Times New Roman" w:eastAsia="宋体"/>
          <w:b w:val="0"/>
          <w:sz w:val="24"/>
        </w:rPr>
        <w:t>针对乘客在轿厢内突发疾病、跌倒、长时间无动作滞留等情形，通过视频算法自动识别并触发警情，同步推送至值班岗与最小应急单元，必要时联动120急救通道，弥补封闭空间内"无人知晓"的救助盲区。同类算法亦可覆盖轿厢内的侵害、滋事等治安类突发事件，与公安基层防控机制衔接。</w:t>
      </w:r>
    </w:p>
    <w:p w14:paraId="20A8B70C">
      <w:pPr>
        <w:spacing w:before="240" w:after="120" w:line="360" w:lineRule="auto"/>
      </w:pPr>
      <w:r>
        <w:rPr>
          <w:rFonts w:ascii="Times New Roman" w:hAnsi="Times New Roman" w:eastAsia="黑体"/>
          <w:b w:val="0"/>
          <w:color w:val="1F3A5F"/>
          <w:sz w:val="28"/>
        </w:rPr>
        <w:t>5.7 应急广播与避险引导</w:t>
      </w:r>
    </w:p>
    <w:p w14:paraId="38CA5D5E">
      <w:pPr>
        <w:spacing w:before="0" w:after="120" w:line="360" w:lineRule="auto"/>
        <w:ind w:firstLine="480"/>
      </w:pPr>
      <w:r>
        <w:rPr>
          <w:rFonts w:ascii="Times New Roman" w:hAnsi="Times New Roman" w:eastAsia="宋体"/>
          <w:b w:val="0"/>
          <w:sz w:val="24"/>
        </w:rPr>
        <w:t>平台支持向单台、单栋、片区或全域电梯定向播发应急语音，用于突发事件期间的避险指引、停梯通知、安全提示与应急演练指令下达。本功能仅限应急与安全类信息发布，不作商业信息投放用途。</w:t>
      </w:r>
    </w:p>
    <w:p w14:paraId="1B090975">
      <w:pPr>
        <w:spacing w:before="240" w:after="120" w:line="360" w:lineRule="auto"/>
      </w:pPr>
      <w:r>
        <w:rPr>
          <w:rFonts w:ascii="Times New Roman" w:hAnsi="Times New Roman" w:eastAsia="黑体"/>
          <w:b w:val="0"/>
          <w:color w:val="1F3A5F"/>
          <w:sz w:val="28"/>
        </w:rPr>
        <w:t>5.8 全过程留痕与一梯一档</w:t>
      </w:r>
    </w:p>
    <w:p w14:paraId="4D6FD006">
      <w:pPr>
        <w:spacing w:before="0" w:after="120" w:line="360" w:lineRule="auto"/>
        <w:ind w:firstLine="480"/>
      </w:pPr>
      <w:r>
        <w:rPr>
          <w:rFonts w:ascii="Times New Roman" w:hAnsi="Times New Roman" w:eastAsia="宋体"/>
          <w:b w:val="0"/>
          <w:sz w:val="24"/>
        </w:rPr>
        <w:t>系统对每一起警情自动生成完整处置记录，包含触发时间、触发方式、核警结论、派单对象、各环节响应时间、现场影像、处置结果与解除时间，形成不可篡改的处置档案。按台建立电梯安全档案，支撑响应时限考核、事件复盘、责任界定与区域风险统计。</w:t>
      </w:r>
    </w:p>
    <w:p w14:paraId="77052138">
      <w:pPr>
        <w:spacing w:before="360" w:after="200" w:line="360" w:lineRule="auto"/>
      </w:pPr>
      <w:r>
        <w:rPr>
          <w:rFonts w:ascii="Times New Roman" w:hAnsi="Times New Roman" w:eastAsia="黑体"/>
          <w:b w:val="0"/>
          <w:color w:val="1F3A5F"/>
          <w:sz w:val="32"/>
        </w:rPr>
        <w:t>六、与基层最小应急单元的融合机制</w:t>
      </w:r>
    </w:p>
    <w:p w14:paraId="48991C12">
      <w:pPr>
        <w:spacing w:before="240" w:after="120" w:line="360" w:lineRule="auto"/>
      </w:pPr>
      <w:r>
        <w:rPr>
          <w:rFonts w:ascii="Times New Roman" w:hAnsi="Times New Roman" w:eastAsia="黑体"/>
          <w:b w:val="0"/>
          <w:color w:val="1F3A5F"/>
          <w:sz w:val="28"/>
        </w:rPr>
        <w:t>6.1 电梯哨点如何嵌入最小应急单元</w:t>
      </w:r>
    </w:p>
    <w:p w14:paraId="74587862">
      <w:pPr>
        <w:spacing w:before="0" w:after="120" w:line="360" w:lineRule="auto"/>
        <w:ind w:firstLine="480"/>
      </w:pPr>
      <w:r>
        <w:rPr>
          <w:rFonts w:ascii="Times New Roman" w:hAnsi="Times New Roman" w:eastAsia="宋体"/>
          <w:b w:val="0"/>
          <w:sz w:val="24"/>
        </w:rPr>
        <w:t>最小应急单元的核心价值在于"就近、就早、就小"，其能力上限取决于两点：一是能否第一时间知道出事了，二是知道以后能否找准位置、带对装备。电梯场景恰恰是最小应急单元现有能力的盲区——事件发生在封闭空间内，单元成员既看不见也听不到。</w:t>
      </w:r>
    </w:p>
    <w:p w14:paraId="690F904C">
      <w:pPr>
        <w:spacing w:before="0" w:after="120" w:line="360" w:lineRule="auto"/>
        <w:ind w:firstLine="480"/>
      </w:pPr>
      <w:r>
        <w:rPr>
          <w:rFonts w:ascii="Times New Roman" w:hAnsi="Times New Roman" w:eastAsia="宋体"/>
          <w:b w:val="0"/>
          <w:sz w:val="24"/>
        </w:rPr>
        <w:t>电梯哨点的接入，正是为最小应急单元补上这两块短板：把电梯轿厢变成单元的"眼睛"，把警情证据包变成单元的"作战地图"。单元无需新增人员编制，只需将电梯警情纳入既有的接警终端与响应流程。</w:t>
      </w:r>
    </w:p>
    <w:p w14:paraId="0AC692BF">
      <w:pPr>
        <w:spacing w:before="240" w:after="120" w:line="360" w:lineRule="auto"/>
      </w:pPr>
      <w:r>
        <w:rPr>
          <w:rFonts w:ascii="Times New Roman" w:hAnsi="Times New Roman" w:eastAsia="黑体"/>
          <w:b w:val="0"/>
          <w:color w:val="1F3A5F"/>
          <w:sz w:val="28"/>
        </w:rPr>
        <w:t>6.2 标准处置流程（SOP）</w:t>
      </w:r>
    </w:p>
    <w:p w14:paraId="605DEB57">
      <w:pPr>
        <w:spacing w:before="160" w:after="80" w:line="360" w:lineRule="auto"/>
      </w:pPr>
      <w:r>
        <w:rPr>
          <w:rFonts w:ascii="Times New Roman" w:hAnsi="Times New Roman" w:eastAsia="黑体"/>
          <w:b/>
          <w:sz w:val="24"/>
        </w:rPr>
        <w:t>第一步：触发与核警（0至1分钟）</w:t>
      </w:r>
    </w:p>
    <w:p w14:paraId="6E8884F4">
      <w:pPr>
        <w:spacing w:before="0" w:after="120" w:line="360" w:lineRule="auto"/>
        <w:ind w:firstLine="480"/>
      </w:pPr>
      <w:r>
        <w:rPr>
          <w:rFonts w:ascii="Times New Roman" w:hAnsi="Times New Roman" w:eastAsia="宋体"/>
          <w:b w:val="0"/>
          <w:sz w:val="24"/>
        </w:rPr>
        <w:t>任一触发条件满足即生成警情，平台自动完成视频核警，判定事件类型与等级，同步生成证据包。</w:t>
      </w:r>
    </w:p>
    <w:p w14:paraId="4E54412E">
      <w:pPr>
        <w:spacing w:before="160" w:after="80" w:line="360" w:lineRule="auto"/>
      </w:pPr>
      <w:r>
        <w:rPr>
          <w:rFonts w:ascii="Times New Roman" w:hAnsi="Times New Roman" w:eastAsia="黑体"/>
          <w:b/>
          <w:sz w:val="24"/>
        </w:rPr>
        <w:t>第二步：派单与安抚（1至3分钟）</w:t>
      </w:r>
    </w:p>
    <w:p w14:paraId="09711B8B">
      <w:pPr>
        <w:spacing w:before="0" w:after="120" w:line="360" w:lineRule="auto"/>
        <w:ind w:firstLine="480"/>
      </w:pPr>
      <w:r>
        <w:rPr>
          <w:rFonts w:ascii="Times New Roman" w:hAnsi="Times New Roman" w:eastAsia="宋体"/>
          <w:b w:val="0"/>
          <w:sz w:val="24"/>
        </w:rPr>
        <w:t>警情按等级同步推送物业值班岗、最小应急单元及相关处置力量；值班岗立即建立可视对讲，安抚被困人员，确认现场状况。</w:t>
      </w:r>
    </w:p>
    <w:p w14:paraId="682884A9">
      <w:pPr>
        <w:spacing w:before="160" w:after="80" w:line="360" w:lineRule="auto"/>
      </w:pPr>
      <w:r>
        <w:rPr>
          <w:rFonts w:ascii="Times New Roman" w:hAnsi="Times New Roman" w:eastAsia="黑体"/>
          <w:b/>
          <w:sz w:val="24"/>
        </w:rPr>
        <w:t>第三步：先期处置（3至5分钟）</w:t>
      </w:r>
    </w:p>
    <w:p w14:paraId="2372410C">
      <w:pPr>
        <w:spacing w:before="0" w:after="120" w:line="360" w:lineRule="auto"/>
        <w:ind w:firstLine="480"/>
      </w:pPr>
      <w:r>
        <w:rPr>
          <w:rFonts w:ascii="Times New Roman" w:hAnsi="Times New Roman" w:eastAsia="宋体"/>
          <w:b w:val="0"/>
          <w:sz w:val="24"/>
        </w:rPr>
        <w:t>最小应急单元成员到达现场，实施安抚、警戒、疏导，确认电梯层门位置与安全状态，为专业救援做好准备；如遇健康急症、火情、治安事件，同步启动相应专业通道。</w:t>
      </w:r>
    </w:p>
    <w:p w14:paraId="639E5627">
      <w:pPr>
        <w:spacing w:before="160" w:after="80" w:line="360" w:lineRule="auto"/>
      </w:pPr>
      <w:r>
        <w:rPr>
          <w:rFonts w:ascii="Times New Roman" w:hAnsi="Times New Roman" w:eastAsia="黑体"/>
          <w:b/>
          <w:sz w:val="24"/>
        </w:rPr>
        <w:t>第四步：专业救援与闭环（5至30分钟）</w:t>
      </w:r>
    </w:p>
    <w:p w14:paraId="1AEBAF69">
      <w:pPr>
        <w:spacing w:before="0" w:after="120" w:line="360" w:lineRule="auto"/>
        <w:ind w:firstLine="480"/>
      </w:pPr>
      <w:r>
        <w:rPr>
          <w:rFonts w:ascii="Times New Roman" w:hAnsi="Times New Roman" w:eastAsia="宋体"/>
          <w:b w:val="0"/>
          <w:sz w:val="24"/>
        </w:rPr>
        <w:t>维保应急队伍到场实施专业解救，救援完成后确认人员状况与电梯状态，判定停用或恢复运行；平台记录全过程并归档。</w:t>
      </w:r>
    </w:p>
    <w:p w14:paraId="0CF11D07">
      <w:pPr>
        <w:spacing w:before="160" w:after="80" w:line="360" w:lineRule="auto"/>
      </w:pPr>
      <w:r>
        <w:rPr>
          <w:rFonts w:ascii="Times New Roman" w:hAnsi="Times New Roman" w:eastAsia="黑体"/>
          <w:b/>
          <w:sz w:val="24"/>
        </w:rPr>
        <w:t>第五步：复盘与改进</w:t>
      </w:r>
    </w:p>
    <w:p w14:paraId="5AE87E0C">
      <w:pPr>
        <w:spacing w:before="0" w:after="120" w:line="360" w:lineRule="auto"/>
        <w:ind w:firstLine="480"/>
      </w:pPr>
      <w:r>
        <w:rPr>
          <w:rFonts w:ascii="Times New Roman" w:hAnsi="Times New Roman" w:eastAsia="宋体"/>
          <w:b w:val="0"/>
          <w:sz w:val="24"/>
        </w:rPr>
        <w:t>对超时、误报、处置不当的警情逐起复盘，形成改进措施；定期输出区域电梯安全态势分析，指导风险防控与力量布防。</w:t>
      </w:r>
    </w:p>
    <w:p w14:paraId="3EB44DA7">
      <w:pPr>
        <w:spacing w:before="240" w:after="120" w:line="360" w:lineRule="auto"/>
      </w:pPr>
      <w:r>
        <w:rPr>
          <w:rFonts w:ascii="Times New Roman" w:hAnsi="Times New Roman" w:eastAsia="黑体"/>
          <w:b w:val="0"/>
          <w:color w:val="1F3A5F"/>
          <w:sz w:val="28"/>
        </w:rPr>
        <w:t>6.3 演练与考核</w:t>
      </w:r>
    </w:p>
    <w:p w14:paraId="7E677A05">
      <w:pPr>
        <w:spacing w:before="0" w:after="120" w:line="360" w:lineRule="auto"/>
        <w:ind w:firstLine="480"/>
      </w:pPr>
      <w:r>
        <w:rPr>
          <w:rFonts w:ascii="Times New Roman" w:hAnsi="Times New Roman" w:eastAsia="宋体"/>
          <w:b w:val="0"/>
          <w:sz w:val="24"/>
        </w:rPr>
        <w:t>依托平台的应急广播与警情模拟功能，可低成本、高频次组织电梯困人应急演练，实现全域同步、过程留痕、结果可评。演练与实战数据统一纳入考核，重点考核核警时间、到场时间、解救时间与闭环率四项指标。</w:t>
      </w:r>
    </w:p>
    <w:p w14:paraId="02659E2F">
      <w:pPr>
        <w:spacing w:before="360" w:after="200" w:line="360" w:lineRule="auto"/>
      </w:pPr>
      <w:r>
        <w:rPr>
          <w:rFonts w:ascii="Times New Roman" w:hAnsi="Times New Roman" w:eastAsia="黑体"/>
          <w:b w:val="0"/>
          <w:color w:val="1F3A5F"/>
          <w:sz w:val="32"/>
        </w:rPr>
        <w:t>七、建设模式与投资测算</w:t>
      </w:r>
    </w:p>
    <w:p w14:paraId="6924CD75">
      <w:pPr>
        <w:spacing w:before="240" w:after="120" w:line="360" w:lineRule="auto"/>
      </w:pPr>
      <w:r>
        <w:rPr>
          <w:rFonts w:ascii="Times New Roman" w:hAnsi="Times New Roman" w:eastAsia="黑体"/>
          <w:b w:val="0"/>
          <w:color w:val="1F3A5F"/>
          <w:sz w:val="28"/>
        </w:rPr>
        <w:t>7.1 三类电梯分级改造</w:t>
      </w:r>
    </w:p>
    <w:p w14:paraId="63EE427C">
      <w:pPr>
        <w:spacing w:before="0" w:after="120" w:line="360" w:lineRule="auto"/>
        <w:ind w:firstLine="480"/>
      </w:pPr>
      <w:r>
        <w:rPr>
          <w:rFonts w:ascii="Times New Roman" w:hAnsi="Times New Roman" w:eastAsia="宋体"/>
          <w:b w:val="0"/>
          <w:sz w:val="24"/>
        </w:rPr>
        <w:t>为控制投资、加快实施，按电梯现有基础条件划分三类，采取差异化配置：</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2608"/>
        <w:gridCol w:w="3061"/>
        <w:gridCol w:w="1814"/>
      </w:tblGrid>
      <w:tr w14:paraId="1452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020" w:type="dxa"/>
            <w:shd w:val="clear" w:color="auto" w:fill="1F3A5F"/>
            <w:vAlign w:val="center"/>
          </w:tcPr>
          <w:p w14:paraId="089FA2A8">
            <w:pPr>
              <w:spacing w:before="40" w:after="40" w:line="276" w:lineRule="auto"/>
              <w:jc w:val="center"/>
            </w:pPr>
            <w:r>
              <w:rPr>
                <w:rFonts w:ascii="Times New Roman" w:hAnsi="Times New Roman" w:eastAsia="黑体"/>
                <w:b/>
                <w:color w:val="FFFFFF"/>
                <w:sz w:val="21"/>
              </w:rPr>
              <w:t>类别</w:t>
            </w:r>
          </w:p>
        </w:tc>
        <w:tc>
          <w:tcPr>
            <w:tcW w:w="2608" w:type="dxa"/>
            <w:shd w:val="clear" w:color="auto" w:fill="1F3A5F"/>
            <w:vAlign w:val="center"/>
          </w:tcPr>
          <w:p w14:paraId="50B16825">
            <w:pPr>
              <w:spacing w:before="40" w:after="40" w:line="276" w:lineRule="auto"/>
              <w:jc w:val="center"/>
            </w:pPr>
            <w:r>
              <w:rPr>
                <w:rFonts w:ascii="Times New Roman" w:hAnsi="Times New Roman" w:eastAsia="黑体"/>
                <w:b/>
                <w:color w:val="FFFFFF"/>
                <w:sz w:val="21"/>
              </w:rPr>
              <w:t>现有条件</w:t>
            </w:r>
          </w:p>
        </w:tc>
        <w:tc>
          <w:tcPr>
            <w:tcW w:w="3061" w:type="dxa"/>
            <w:shd w:val="clear" w:color="auto" w:fill="1F3A5F"/>
            <w:vAlign w:val="center"/>
          </w:tcPr>
          <w:p w14:paraId="4B4CCEE5">
            <w:pPr>
              <w:spacing w:before="40" w:after="40" w:line="276" w:lineRule="auto"/>
              <w:jc w:val="center"/>
            </w:pPr>
            <w:r>
              <w:rPr>
                <w:rFonts w:ascii="Times New Roman" w:hAnsi="Times New Roman" w:eastAsia="黑体"/>
                <w:b/>
                <w:color w:val="FFFFFF"/>
                <w:sz w:val="21"/>
              </w:rPr>
              <w:t>改造内容</w:t>
            </w:r>
          </w:p>
        </w:tc>
        <w:tc>
          <w:tcPr>
            <w:tcW w:w="1814" w:type="dxa"/>
            <w:shd w:val="clear" w:color="auto" w:fill="1F3A5F"/>
            <w:vAlign w:val="center"/>
          </w:tcPr>
          <w:p w14:paraId="32AABD7B">
            <w:pPr>
              <w:spacing w:before="40" w:after="40" w:line="276" w:lineRule="auto"/>
              <w:jc w:val="center"/>
            </w:pPr>
            <w:r>
              <w:rPr>
                <w:rFonts w:ascii="Times New Roman" w:hAnsi="Times New Roman" w:eastAsia="黑体"/>
                <w:b/>
                <w:color w:val="FFFFFF"/>
                <w:sz w:val="21"/>
              </w:rPr>
              <w:t>单台参考投资</w:t>
            </w:r>
          </w:p>
        </w:tc>
      </w:tr>
      <w:tr w14:paraId="79CF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0" w:type="dxa"/>
            <w:vAlign w:val="center"/>
          </w:tcPr>
          <w:p w14:paraId="7A70BACF">
            <w:pPr>
              <w:spacing w:before="40" w:after="40" w:line="276" w:lineRule="auto"/>
              <w:jc w:val="center"/>
            </w:pPr>
            <w:r>
              <w:rPr>
                <w:rFonts w:ascii="Times New Roman" w:hAnsi="Times New Roman" w:eastAsia="宋体"/>
                <w:b w:val="0"/>
                <w:sz w:val="21"/>
              </w:rPr>
              <w:t>A类</w:t>
            </w:r>
          </w:p>
        </w:tc>
        <w:tc>
          <w:tcPr>
            <w:tcW w:w="2608" w:type="dxa"/>
            <w:vAlign w:val="center"/>
          </w:tcPr>
          <w:p w14:paraId="487EDFD5">
            <w:pPr>
              <w:spacing w:before="40" w:after="40" w:line="276" w:lineRule="auto"/>
              <w:jc w:val="center"/>
            </w:pPr>
            <w:r>
              <w:rPr>
                <w:rFonts w:ascii="Times New Roman" w:hAnsi="Times New Roman" w:eastAsia="宋体"/>
                <w:b w:val="0"/>
                <w:sz w:val="21"/>
              </w:rPr>
              <w:t>轿厢已有监控，网络与存储可用</w:t>
            </w:r>
          </w:p>
        </w:tc>
        <w:tc>
          <w:tcPr>
            <w:tcW w:w="3061" w:type="dxa"/>
            <w:vAlign w:val="center"/>
          </w:tcPr>
          <w:p w14:paraId="01093E1F">
            <w:pPr>
              <w:spacing w:before="40" w:after="40" w:line="276" w:lineRule="auto"/>
              <w:jc w:val="center"/>
            </w:pPr>
            <w:r>
              <w:rPr>
                <w:rFonts w:ascii="Times New Roman" w:hAnsi="Times New Roman" w:eastAsia="宋体"/>
                <w:b w:val="0"/>
                <w:sz w:val="21"/>
              </w:rPr>
              <w:t>更换AI摄像机，升级算法，完成联动配置</w:t>
            </w:r>
          </w:p>
        </w:tc>
        <w:tc>
          <w:tcPr>
            <w:tcW w:w="1814" w:type="dxa"/>
            <w:vAlign w:val="center"/>
          </w:tcPr>
          <w:p w14:paraId="269C6C70">
            <w:pPr>
              <w:spacing w:before="40" w:after="40" w:line="276" w:lineRule="auto"/>
              <w:jc w:val="center"/>
            </w:pPr>
            <w:r>
              <w:rPr>
                <w:rFonts w:ascii="Times New Roman" w:hAnsi="Times New Roman" w:eastAsia="宋体"/>
                <w:b w:val="0"/>
                <w:sz w:val="21"/>
              </w:rPr>
              <w:t>约1000至1200元</w:t>
            </w:r>
          </w:p>
        </w:tc>
      </w:tr>
      <w:tr w14:paraId="58F8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0" w:type="dxa"/>
            <w:vAlign w:val="center"/>
          </w:tcPr>
          <w:p w14:paraId="5ACF31C5">
            <w:pPr>
              <w:spacing w:before="40" w:after="40" w:line="276" w:lineRule="auto"/>
              <w:jc w:val="center"/>
            </w:pPr>
            <w:r>
              <w:rPr>
                <w:rFonts w:ascii="Times New Roman" w:hAnsi="Times New Roman" w:eastAsia="宋体"/>
                <w:b w:val="0"/>
                <w:sz w:val="21"/>
              </w:rPr>
              <w:t>B类</w:t>
            </w:r>
          </w:p>
        </w:tc>
        <w:tc>
          <w:tcPr>
            <w:tcW w:w="2608" w:type="dxa"/>
            <w:vAlign w:val="center"/>
          </w:tcPr>
          <w:p w14:paraId="7E519DE5">
            <w:pPr>
              <w:spacing w:before="40" w:after="40" w:line="276" w:lineRule="auto"/>
              <w:jc w:val="center"/>
            </w:pPr>
            <w:r>
              <w:rPr>
                <w:rFonts w:ascii="Times New Roman" w:hAnsi="Times New Roman" w:eastAsia="宋体"/>
                <w:b w:val="0"/>
                <w:sz w:val="21"/>
              </w:rPr>
              <w:t>轿厢已有监控，但需增加联动与续电能力</w:t>
            </w:r>
          </w:p>
        </w:tc>
        <w:tc>
          <w:tcPr>
            <w:tcW w:w="3061" w:type="dxa"/>
            <w:vAlign w:val="center"/>
          </w:tcPr>
          <w:p w14:paraId="057F7291">
            <w:pPr>
              <w:spacing w:before="40" w:after="40" w:line="276" w:lineRule="auto"/>
              <w:jc w:val="center"/>
            </w:pPr>
            <w:r>
              <w:rPr>
                <w:rFonts w:ascii="Times New Roman" w:hAnsi="Times New Roman" w:eastAsia="宋体"/>
                <w:b w:val="0"/>
                <w:sz w:val="21"/>
              </w:rPr>
              <w:t>A类内容＋云边智控终端＋后备电源＋云存储</w:t>
            </w:r>
          </w:p>
        </w:tc>
        <w:tc>
          <w:tcPr>
            <w:tcW w:w="1814" w:type="dxa"/>
            <w:vAlign w:val="center"/>
          </w:tcPr>
          <w:p w14:paraId="6104ACBC">
            <w:pPr>
              <w:spacing w:before="40" w:after="40" w:line="276" w:lineRule="auto"/>
              <w:jc w:val="center"/>
            </w:pPr>
            <w:r>
              <w:rPr>
                <w:rFonts w:ascii="Times New Roman" w:hAnsi="Times New Roman" w:eastAsia="宋体"/>
                <w:b w:val="0"/>
                <w:sz w:val="21"/>
              </w:rPr>
              <w:t>约2200至2500元</w:t>
            </w:r>
          </w:p>
        </w:tc>
      </w:tr>
      <w:tr w14:paraId="360B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0" w:type="dxa"/>
            <w:vAlign w:val="center"/>
          </w:tcPr>
          <w:p w14:paraId="6A18502A">
            <w:pPr>
              <w:spacing w:before="40" w:after="40" w:line="276" w:lineRule="auto"/>
              <w:jc w:val="center"/>
            </w:pPr>
            <w:r>
              <w:rPr>
                <w:rFonts w:ascii="Times New Roman" w:hAnsi="Times New Roman" w:eastAsia="宋体"/>
                <w:b w:val="0"/>
                <w:sz w:val="21"/>
              </w:rPr>
              <w:t>C类</w:t>
            </w:r>
          </w:p>
        </w:tc>
        <w:tc>
          <w:tcPr>
            <w:tcW w:w="2608" w:type="dxa"/>
            <w:vAlign w:val="center"/>
          </w:tcPr>
          <w:p w14:paraId="69E64EBD">
            <w:pPr>
              <w:spacing w:before="40" w:after="40" w:line="276" w:lineRule="auto"/>
              <w:jc w:val="center"/>
            </w:pPr>
            <w:r>
              <w:rPr>
                <w:rFonts w:ascii="Times New Roman" w:hAnsi="Times New Roman" w:eastAsia="宋体"/>
                <w:b w:val="0"/>
                <w:sz w:val="21"/>
              </w:rPr>
              <w:t>轿厢无监控，网络与存储需新建</w:t>
            </w:r>
          </w:p>
        </w:tc>
        <w:tc>
          <w:tcPr>
            <w:tcW w:w="3061" w:type="dxa"/>
            <w:vAlign w:val="center"/>
          </w:tcPr>
          <w:p w14:paraId="6049E1B0">
            <w:pPr>
              <w:spacing w:before="40" w:after="40" w:line="276" w:lineRule="auto"/>
              <w:jc w:val="center"/>
            </w:pPr>
            <w:r>
              <w:rPr>
                <w:rFonts w:ascii="Times New Roman" w:hAnsi="Times New Roman" w:eastAsia="宋体"/>
                <w:b w:val="0"/>
                <w:sz w:val="21"/>
              </w:rPr>
              <w:t>B类内容＋井道传输、交换设备、线缆与施工</w:t>
            </w:r>
          </w:p>
        </w:tc>
        <w:tc>
          <w:tcPr>
            <w:tcW w:w="1814" w:type="dxa"/>
            <w:vAlign w:val="center"/>
          </w:tcPr>
          <w:p w14:paraId="2EF0490A">
            <w:pPr>
              <w:spacing w:before="40" w:after="40" w:line="276" w:lineRule="auto"/>
              <w:jc w:val="center"/>
            </w:pPr>
            <w:r>
              <w:rPr>
                <w:rFonts w:ascii="Times New Roman" w:hAnsi="Times New Roman" w:eastAsia="宋体"/>
                <w:b w:val="0"/>
                <w:sz w:val="21"/>
              </w:rPr>
              <w:t>约3300至3600元</w:t>
            </w:r>
          </w:p>
        </w:tc>
      </w:tr>
    </w:tbl>
    <w:p w14:paraId="0536C83C">
      <w:pPr>
        <w:spacing w:after="0"/>
      </w:pPr>
    </w:p>
    <w:p w14:paraId="33612DA9">
      <w:pPr>
        <w:spacing w:before="0" w:after="120" w:line="360" w:lineRule="auto"/>
        <w:ind w:firstLine="480"/>
      </w:pPr>
      <w:r>
        <w:rPr>
          <w:rFonts w:ascii="Times New Roman" w:hAnsi="Times New Roman" w:eastAsia="宋体"/>
          <w:b w:val="0"/>
          <w:sz w:val="24"/>
        </w:rPr>
        <w:t>上述参考投资含设备、安装调试、一年质保、税费与首年云存储服务，实际取费按项目规模、区域人工与设备选型浮动。平台侧按区域集中部署，可采用一次性建设或按台年费方式提供服务。</w:t>
      </w:r>
    </w:p>
    <w:p w14:paraId="5CDBCE1A">
      <w:pPr>
        <w:spacing w:before="240" w:after="120" w:line="360" w:lineRule="auto"/>
      </w:pPr>
      <w:r>
        <w:rPr>
          <w:rFonts w:ascii="Times New Roman" w:hAnsi="Times New Roman" w:eastAsia="黑体"/>
          <w:b w:val="0"/>
          <w:color w:val="1F3A5F"/>
          <w:sz w:val="28"/>
        </w:rPr>
        <w:t>7.2 规模投资测算示例</w:t>
      </w:r>
    </w:p>
    <w:p w14:paraId="51C747E7">
      <w:pPr>
        <w:spacing w:before="0" w:after="120" w:line="360" w:lineRule="auto"/>
        <w:ind w:firstLine="480"/>
      </w:pPr>
      <w:r>
        <w:rPr>
          <w:rFonts w:ascii="Times New Roman" w:hAnsi="Times New Roman" w:eastAsia="宋体"/>
          <w:b w:val="0"/>
          <w:sz w:val="24"/>
        </w:rPr>
        <w:t>以一个覆盖1000台在用电梯的区域为例，按A类60%、B类25%、C类15%的典型结构测算：</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928"/>
        <w:gridCol w:w="2381"/>
        <w:gridCol w:w="2381"/>
      </w:tblGrid>
      <w:tr w14:paraId="01CB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814" w:type="dxa"/>
            <w:shd w:val="clear" w:color="auto" w:fill="1F3A5F"/>
            <w:vAlign w:val="center"/>
          </w:tcPr>
          <w:p w14:paraId="2F9C8F4B">
            <w:pPr>
              <w:spacing w:before="40" w:after="40" w:line="276" w:lineRule="auto"/>
              <w:jc w:val="center"/>
            </w:pPr>
            <w:r>
              <w:rPr>
                <w:rFonts w:ascii="Times New Roman" w:hAnsi="Times New Roman" w:eastAsia="黑体"/>
                <w:b/>
                <w:color w:val="FFFFFF"/>
                <w:sz w:val="21"/>
              </w:rPr>
              <w:t>类别</w:t>
            </w:r>
          </w:p>
        </w:tc>
        <w:tc>
          <w:tcPr>
            <w:tcW w:w="1928" w:type="dxa"/>
            <w:shd w:val="clear" w:color="auto" w:fill="1F3A5F"/>
            <w:vAlign w:val="center"/>
          </w:tcPr>
          <w:p w14:paraId="3F6056DF">
            <w:pPr>
              <w:spacing w:before="40" w:after="40" w:line="276" w:lineRule="auto"/>
              <w:jc w:val="center"/>
            </w:pPr>
            <w:r>
              <w:rPr>
                <w:rFonts w:ascii="Times New Roman" w:hAnsi="Times New Roman" w:eastAsia="黑体"/>
                <w:b/>
                <w:color w:val="FFFFFF"/>
                <w:sz w:val="21"/>
              </w:rPr>
              <w:t>数量（台）</w:t>
            </w:r>
          </w:p>
        </w:tc>
        <w:tc>
          <w:tcPr>
            <w:tcW w:w="2381" w:type="dxa"/>
            <w:shd w:val="clear" w:color="auto" w:fill="1F3A5F"/>
            <w:vAlign w:val="center"/>
          </w:tcPr>
          <w:p w14:paraId="3412A70C">
            <w:pPr>
              <w:spacing w:before="40" w:after="40" w:line="276" w:lineRule="auto"/>
              <w:jc w:val="center"/>
            </w:pPr>
            <w:r>
              <w:rPr>
                <w:rFonts w:ascii="Times New Roman" w:hAnsi="Times New Roman" w:eastAsia="黑体"/>
                <w:b/>
                <w:color w:val="FFFFFF"/>
                <w:sz w:val="21"/>
              </w:rPr>
              <w:t>单台投资（元）</w:t>
            </w:r>
          </w:p>
        </w:tc>
        <w:tc>
          <w:tcPr>
            <w:tcW w:w="2381" w:type="dxa"/>
            <w:shd w:val="clear" w:color="auto" w:fill="1F3A5F"/>
            <w:vAlign w:val="center"/>
          </w:tcPr>
          <w:p w14:paraId="532B18FA">
            <w:pPr>
              <w:spacing w:before="40" w:after="40" w:line="276" w:lineRule="auto"/>
              <w:jc w:val="center"/>
            </w:pPr>
            <w:r>
              <w:rPr>
                <w:rFonts w:ascii="Times New Roman" w:hAnsi="Times New Roman" w:eastAsia="黑体"/>
                <w:b/>
                <w:color w:val="FFFFFF"/>
                <w:sz w:val="21"/>
              </w:rPr>
              <w:t>小计（万元）</w:t>
            </w:r>
          </w:p>
        </w:tc>
      </w:tr>
      <w:tr w14:paraId="48D6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52EDEBEB">
            <w:pPr>
              <w:spacing w:before="40" w:after="40" w:line="276" w:lineRule="auto"/>
              <w:jc w:val="center"/>
            </w:pPr>
            <w:r>
              <w:rPr>
                <w:rFonts w:ascii="Times New Roman" w:hAnsi="Times New Roman" w:eastAsia="宋体"/>
                <w:b w:val="0"/>
                <w:sz w:val="21"/>
              </w:rPr>
              <w:t>A类</w:t>
            </w:r>
          </w:p>
        </w:tc>
        <w:tc>
          <w:tcPr>
            <w:tcW w:w="1928" w:type="dxa"/>
            <w:vAlign w:val="center"/>
          </w:tcPr>
          <w:p w14:paraId="115105D9">
            <w:pPr>
              <w:spacing w:before="40" w:after="40" w:line="276" w:lineRule="auto"/>
              <w:jc w:val="center"/>
            </w:pPr>
            <w:r>
              <w:rPr>
                <w:rFonts w:ascii="Times New Roman" w:hAnsi="Times New Roman" w:eastAsia="宋体"/>
                <w:b w:val="0"/>
                <w:sz w:val="21"/>
              </w:rPr>
              <w:t>600</w:t>
            </w:r>
          </w:p>
        </w:tc>
        <w:tc>
          <w:tcPr>
            <w:tcW w:w="2381" w:type="dxa"/>
            <w:vAlign w:val="center"/>
          </w:tcPr>
          <w:p w14:paraId="72F0C29E">
            <w:pPr>
              <w:spacing w:before="40" w:after="40" w:line="276" w:lineRule="auto"/>
              <w:jc w:val="center"/>
            </w:pPr>
            <w:r>
              <w:rPr>
                <w:rFonts w:ascii="Times New Roman" w:hAnsi="Times New Roman" w:eastAsia="宋体"/>
                <w:b w:val="0"/>
                <w:sz w:val="21"/>
              </w:rPr>
              <w:t>1100</w:t>
            </w:r>
          </w:p>
        </w:tc>
        <w:tc>
          <w:tcPr>
            <w:tcW w:w="2381" w:type="dxa"/>
            <w:vAlign w:val="center"/>
          </w:tcPr>
          <w:p w14:paraId="107DB74E">
            <w:pPr>
              <w:spacing w:before="40" w:after="40" w:line="276" w:lineRule="auto"/>
              <w:jc w:val="center"/>
            </w:pPr>
            <w:r>
              <w:rPr>
                <w:rFonts w:ascii="Times New Roman" w:hAnsi="Times New Roman" w:eastAsia="宋体"/>
                <w:b w:val="0"/>
                <w:sz w:val="21"/>
              </w:rPr>
              <w:t>66.0</w:t>
            </w:r>
          </w:p>
        </w:tc>
      </w:tr>
      <w:tr w14:paraId="16E2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3CB77328">
            <w:pPr>
              <w:spacing w:before="40" w:after="40" w:line="276" w:lineRule="auto"/>
              <w:jc w:val="center"/>
            </w:pPr>
            <w:r>
              <w:rPr>
                <w:rFonts w:ascii="Times New Roman" w:hAnsi="Times New Roman" w:eastAsia="宋体"/>
                <w:b w:val="0"/>
                <w:sz w:val="21"/>
              </w:rPr>
              <w:t>B类</w:t>
            </w:r>
          </w:p>
        </w:tc>
        <w:tc>
          <w:tcPr>
            <w:tcW w:w="1928" w:type="dxa"/>
            <w:vAlign w:val="center"/>
          </w:tcPr>
          <w:p w14:paraId="2A05481E">
            <w:pPr>
              <w:spacing w:before="40" w:after="40" w:line="276" w:lineRule="auto"/>
              <w:jc w:val="center"/>
            </w:pPr>
            <w:r>
              <w:rPr>
                <w:rFonts w:ascii="Times New Roman" w:hAnsi="Times New Roman" w:eastAsia="宋体"/>
                <w:b w:val="0"/>
                <w:sz w:val="21"/>
              </w:rPr>
              <w:t>250</w:t>
            </w:r>
          </w:p>
        </w:tc>
        <w:tc>
          <w:tcPr>
            <w:tcW w:w="2381" w:type="dxa"/>
            <w:vAlign w:val="center"/>
          </w:tcPr>
          <w:p w14:paraId="0C5434B9">
            <w:pPr>
              <w:spacing w:before="40" w:after="40" w:line="276" w:lineRule="auto"/>
              <w:jc w:val="center"/>
            </w:pPr>
            <w:r>
              <w:rPr>
                <w:rFonts w:ascii="Times New Roman" w:hAnsi="Times New Roman" w:eastAsia="宋体"/>
                <w:b w:val="0"/>
                <w:sz w:val="21"/>
              </w:rPr>
              <w:t>2300</w:t>
            </w:r>
          </w:p>
        </w:tc>
        <w:tc>
          <w:tcPr>
            <w:tcW w:w="2381" w:type="dxa"/>
            <w:vAlign w:val="center"/>
          </w:tcPr>
          <w:p w14:paraId="03C4F69B">
            <w:pPr>
              <w:spacing w:before="40" w:after="40" w:line="276" w:lineRule="auto"/>
              <w:jc w:val="center"/>
            </w:pPr>
            <w:r>
              <w:rPr>
                <w:rFonts w:ascii="Times New Roman" w:hAnsi="Times New Roman" w:eastAsia="宋体"/>
                <w:b w:val="0"/>
                <w:sz w:val="21"/>
              </w:rPr>
              <w:t>57.5</w:t>
            </w:r>
          </w:p>
        </w:tc>
      </w:tr>
      <w:tr w14:paraId="6222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5DC2A01B">
            <w:pPr>
              <w:spacing w:before="40" w:after="40" w:line="276" w:lineRule="auto"/>
              <w:jc w:val="center"/>
            </w:pPr>
            <w:r>
              <w:rPr>
                <w:rFonts w:ascii="Times New Roman" w:hAnsi="Times New Roman" w:eastAsia="宋体"/>
                <w:b w:val="0"/>
                <w:sz w:val="21"/>
              </w:rPr>
              <w:t>C类</w:t>
            </w:r>
          </w:p>
        </w:tc>
        <w:tc>
          <w:tcPr>
            <w:tcW w:w="1928" w:type="dxa"/>
            <w:vAlign w:val="center"/>
          </w:tcPr>
          <w:p w14:paraId="13E03DCF">
            <w:pPr>
              <w:spacing w:before="40" w:after="40" w:line="276" w:lineRule="auto"/>
              <w:jc w:val="center"/>
            </w:pPr>
            <w:r>
              <w:rPr>
                <w:rFonts w:ascii="Times New Roman" w:hAnsi="Times New Roman" w:eastAsia="宋体"/>
                <w:b w:val="0"/>
                <w:sz w:val="21"/>
              </w:rPr>
              <w:t>150</w:t>
            </w:r>
          </w:p>
        </w:tc>
        <w:tc>
          <w:tcPr>
            <w:tcW w:w="2381" w:type="dxa"/>
            <w:vAlign w:val="center"/>
          </w:tcPr>
          <w:p w14:paraId="55BDC64A">
            <w:pPr>
              <w:spacing w:before="40" w:after="40" w:line="276" w:lineRule="auto"/>
              <w:jc w:val="center"/>
            </w:pPr>
            <w:r>
              <w:rPr>
                <w:rFonts w:ascii="Times New Roman" w:hAnsi="Times New Roman" w:eastAsia="宋体"/>
                <w:b w:val="0"/>
                <w:sz w:val="21"/>
              </w:rPr>
              <w:t>3400</w:t>
            </w:r>
          </w:p>
        </w:tc>
        <w:tc>
          <w:tcPr>
            <w:tcW w:w="2381" w:type="dxa"/>
            <w:vAlign w:val="center"/>
          </w:tcPr>
          <w:p w14:paraId="07E96C87">
            <w:pPr>
              <w:spacing w:before="40" w:after="40" w:line="276" w:lineRule="auto"/>
              <w:jc w:val="center"/>
            </w:pPr>
            <w:r>
              <w:rPr>
                <w:rFonts w:ascii="Times New Roman" w:hAnsi="Times New Roman" w:eastAsia="宋体"/>
                <w:b w:val="0"/>
                <w:sz w:val="21"/>
              </w:rPr>
              <w:t>51.0</w:t>
            </w:r>
          </w:p>
        </w:tc>
      </w:tr>
      <w:tr w14:paraId="6EA4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27C5B5C7">
            <w:pPr>
              <w:spacing w:before="40" w:after="40" w:line="276" w:lineRule="auto"/>
              <w:jc w:val="center"/>
            </w:pPr>
            <w:r>
              <w:rPr>
                <w:rFonts w:ascii="Times New Roman" w:hAnsi="Times New Roman" w:eastAsia="宋体"/>
                <w:b w:val="0"/>
                <w:sz w:val="21"/>
              </w:rPr>
              <w:t>合计</w:t>
            </w:r>
          </w:p>
        </w:tc>
        <w:tc>
          <w:tcPr>
            <w:tcW w:w="1928" w:type="dxa"/>
            <w:vAlign w:val="center"/>
          </w:tcPr>
          <w:p w14:paraId="096039C6">
            <w:pPr>
              <w:spacing w:before="40" w:after="40" w:line="276" w:lineRule="auto"/>
              <w:jc w:val="center"/>
            </w:pPr>
            <w:r>
              <w:rPr>
                <w:rFonts w:ascii="Times New Roman" w:hAnsi="Times New Roman" w:eastAsia="宋体"/>
                <w:b w:val="0"/>
                <w:sz w:val="21"/>
              </w:rPr>
              <w:t>1000</w:t>
            </w:r>
          </w:p>
        </w:tc>
        <w:tc>
          <w:tcPr>
            <w:tcW w:w="2381" w:type="dxa"/>
            <w:vAlign w:val="center"/>
          </w:tcPr>
          <w:p w14:paraId="33E33E3C">
            <w:pPr>
              <w:spacing w:before="40" w:after="40" w:line="276" w:lineRule="auto"/>
              <w:jc w:val="center"/>
            </w:pPr>
            <w:r>
              <w:rPr>
                <w:rFonts w:ascii="Times New Roman" w:hAnsi="Times New Roman" w:eastAsia="宋体"/>
                <w:b w:val="0"/>
                <w:sz w:val="21"/>
              </w:rPr>
              <w:t>平均约1745</w:t>
            </w:r>
          </w:p>
        </w:tc>
        <w:tc>
          <w:tcPr>
            <w:tcW w:w="2381" w:type="dxa"/>
            <w:vAlign w:val="center"/>
          </w:tcPr>
          <w:p w14:paraId="56B64045">
            <w:pPr>
              <w:spacing w:before="40" w:after="40" w:line="276" w:lineRule="auto"/>
              <w:jc w:val="center"/>
            </w:pPr>
            <w:r>
              <w:rPr>
                <w:rFonts w:ascii="Times New Roman" w:hAnsi="Times New Roman" w:eastAsia="宋体"/>
                <w:b w:val="0"/>
                <w:sz w:val="21"/>
              </w:rPr>
              <w:t>174.5</w:t>
            </w:r>
          </w:p>
        </w:tc>
      </w:tr>
    </w:tbl>
    <w:p w14:paraId="24B02833">
      <w:pPr>
        <w:spacing w:after="0"/>
      </w:pPr>
    </w:p>
    <w:p w14:paraId="7BF7E1EE">
      <w:pPr>
        <w:spacing w:before="0" w:after="120" w:line="360" w:lineRule="auto"/>
        <w:ind w:firstLine="480"/>
      </w:pPr>
      <w:r>
        <w:rPr>
          <w:rFonts w:ascii="Times New Roman" w:hAnsi="Times New Roman" w:eastAsia="宋体"/>
          <w:b w:val="0"/>
          <w:sz w:val="24"/>
        </w:rPr>
        <w:t>折算下来，单台电梯获得完整末端应急处置能力的一次性投入不足两千元，相较于一起困人事故的处置成本与社会影响，投入产出比显著。既有监控占比越高的区域，单台成本越低。</w:t>
      </w:r>
    </w:p>
    <w:p w14:paraId="6403417C">
      <w:pPr>
        <w:spacing w:before="240" w:after="120" w:line="360" w:lineRule="auto"/>
      </w:pPr>
      <w:r>
        <w:rPr>
          <w:rFonts w:ascii="Times New Roman" w:hAnsi="Times New Roman" w:eastAsia="黑体"/>
          <w:b w:val="0"/>
          <w:color w:val="1F3A5F"/>
          <w:sz w:val="28"/>
        </w:rPr>
        <w:t>7.3 实施步骤</w:t>
      </w:r>
    </w:p>
    <w:p w14:paraId="71093C61">
      <w:pPr>
        <w:spacing w:before="160" w:after="80" w:line="360" w:lineRule="auto"/>
      </w:pPr>
      <w:r>
        <w:rPr>
          <w:rFonts w:ascii="Times New Roman" w:hAnsi="Times New Roman" w:eastAsia="黑体"/>
          <w:b/>
          <w:sz w:val="24"/>
        </w:rPr>
        <w:t>第一阶段：摸底与试点（1至2个月）</w:t>
      </w:r>
    </w:p>
    <w:p w14:paraId="65FA92B0">
      <w:pPr>
        <w:spacing w:before="0" w:after="120" w:line="360" w:lineRule="auto"/>
        <w:ind w:firstLine="480"/>
      </w:pPr>
      <w:r>
        <w:rPr>
          <w:rFonts w:ascii="Times New Roman" w:hAnsi="Times New Roman" w:eastAsia="宋体"/>
          <w:b w:val="0"/>
          <w:sz w:val="24"/>
        </w:rPr>
        <w:t>完成区域内电梯底数、监控现状、网络条件的全面摸排，形成分类台账；选取一个社区或若干栋楼宇开展试点，跑通全流程，验证响应时限，形成本地化SOP。</w:t>
      </w:r>
    </w:p>
    <w:p w14:paraId="2BA01167">
      <w:pPr>
        <w:spacing w:before="160" w:after="80" w:line="360" w:lineRule="auto"/>
      </w:pPr>
      <w:r>
        <w:rPr>
          <w:rFonts w:ascii="Times New Roman" w:hAnsi="Times New Roman" w:eastAsia="黑体"/>
          <w:b/>
          <w:sz w:val="24"/>
        </w:rPr>
        <w:t>第二阶段：分批推广（3至9个月）</w:t>
      </w:r>
    </w:p>
    <w:p w14:paraId="3159E115">
      <w:pPr>
        <w:spacing w:before="0" w:after="120" w:line="360" w:lineRule="auto"/>
        <w:ind w:firstLine="480"/>
      </w:pPr>
      <w:r>
        <w:rPr>
          <w:rFonts w:ascii="Times New Roman" w:hAnsi="Times New Roman" w:eastAsia="宋体"/>
          <w:b w:val="0"/>
          <w:sz w:val="24"/>
        </w:rPr>
        <w:t>按"先高风险后一般、先有基础后新建"的顺序分批实施：老旧电梯、高层住宅、老年人口集中小区、人员密集公共场所优先纳入。</w:t>
      </w:r>
    </w:p>
    <w:p w14:paraId="31BB0E9B">
      <w:pPr>
        <w:spacing w:before="160" w:after="80" w:line="360" w:lineRule="auto"/>
      </w:pPr>
      <w:r>
        <w:rPr>
          <w:rFonts w:ascii="Times New Roman" w:hAnsi="Times New Roman" w:eastAsia="黑体"/>
          <w:b/>
          <w:sz w:val="24"/>
        </w:rPr>
        <w:t>第三阶段：并网与考核（同步推进）</w:t>
      </w:r>
    </w:p>
    <w:p w14:paraId="137B2ECC">
      <w:pPr>
        <w:spacing w:before="0" w:after="120" w:line="360" w:lineRule="auto"/>
        <w:ind w:firstLine="480"/>
      </w:pPr>
      <w:r>
        <w:rPr>
          <w:rFonts w:ascii="Times New Roman" w:hAnsi="Times New Roman" w:eastAsia="宋体"/>
          <w:b w:val="0"/>
          <w:sz w:val="24"/>
        </w:rPr>
        <w:t>完成与城市安全哨兵体系、电梯应急处置服务平台及基层应急指挥体系的对接；建立常态化演练与考核机制，纳入基层平安建设考评。</w:t>
      </w:r>
    </w:p>
    <w:p w14:paraId="448F938C">
      <w:pPr>
        <w:spacing w:before="360" w:after="200" w:line="360" w:lineRule="auto"/>
      </w:pPr>
      <w:r>
        <w:rPr>
          <w:rFonts w:ascii="Times New Roman" w:hAnsi="Times New Roman" w:eastAsia="黑体"/>
          <w:b w:val="0"/>
          <w:color w:val="1F3A5F"/>
          <w:sz w:val="32"/>
        </w:rPr>
        <w:t>八、合规与安全保障</w:t>
      </w:r>
    </w:p>
    <w:p w14:paraId="3DE84FDA">
      <w:pPr>
        <w:spacing w:before="240" w:after="120" w:line="360" w:lineRule="auto"/>
      </w:pPr>
      <w:r>
        <w:rPr>
          <w:rFonts w:ascii="Times New Roman" w:hAnsi="Times New Roman" w:eastAsia="黑体"/>
          <w:b w:val="0"/>
          <w:color w:val="1F3A5F"/>
          <w:sz w:val="28"/>
        </w:rPr>
        <w:t>8.1 不替代法定紧急报警装置</w:t>
      </w:r>
    </w:p>
    <w:p w14:paraId="63E2C6EA">
      <w:pPr>
        <w:spacing w:before="0" w:after="120" w:line="360" w:lineRule="auto"/>
        <w:ind w:firstLine="480"/>
      </w:pPr>
      <w:r>
        <w:rPr>
          <w:rFonts w:ascii="Times New Roman" w:hAnsi="Times New Roman" w:eastAsia="宋体"/>
          <w:b w:val="0"/>
          <w:sz w:val="24"/>
        </w:rPr>
        <w:t>本方案所建设的报警与对讲能力，是对电梯轿厢法定紧急报警装置（含五方通话系统）的增强与补充，不替代、不改动、不影响原有法定装置的独立运行。全部前端设备采用解耦方式接入，不介入电梯控制系统的安全回路，不影响电梯本体的安全性能与检验结论。此为本方案的技术底线。</w:t>
      </w:r>
    </w:p>
    <w:p w14:paraId="2BBB318C">
      <w:pPr>
        <w:spacing w:before="240" w:after="120" w:line="360" w:lineRule="auto"/>
      </w:pPr>
      <w:r>
        <w:rPr>
          <w:rFonts w:ascii="Times New Roman" w:hAnsi="Times New Roman" w:eastAsia="黑体"/>
          <w:b w:val="0"/>
          <w:color w:val="1F3A5F"/>
          <w:sz w:val="28"/>
        </w:rPr>
        <w:t>8.2 视频图像合规</w:t>
      </w:r>
    </w:p>
    <w:p w14:paraId="4B1DFDF1">
      <w:pPr>
        <w:spacing w:before="0" w:after="120" w:line="360" w:lineRule="auto"/>
        <w:ind w:firstLine="480"/>
      </w:pPr>
      <w:r>
        <w:rPr>
          <w:rFonts w:ascii="Times New Roman" w:hAnsi="Times New Roman" w:eastAsia="宋体"/>
          <w:b w:val="0"/>
          <w:sz w:val="24"/>
        </w:rPr>
        <w:t>轿厢视频的建设与使用严格遵循《公共安全视频图像信息系统管理条例》要求：</w:t>
      </w:r>
    </w:p>
    <w:p w14:paraId="4507C46C">
      <w:pPr>
        <w:spacing w:after="80" w:line="360" w:lineRule="auto"/>
        <w:ind w:left="480" w:firstLine="0"/>
      </w:pPr>
      <w:r>
        <w:rPr>
          <w:rFonts w:ascii="Times New Roman" w:hAnsi="Times New Roman" w:eastAsia="宋体"/>
          <w:b w:val="0"/>
          <w:sz w:val="24"/>
        </w:rPr>
        <w:t>— 由对场所负有安全防范义务的单位依规建设，合理确定采集范围；</w:t>
      </w:r>
    </w:p>
    <w:p w14:paraId="61CCF354">
      <w:pPr>
        <w:spacing w:after="80" w:line="360" w:lineRule="auto"/>
        <w:ind w:left="480" w:firstLine="0"/>
      </w:pPr>
      <w:r>
        <w:rPr>
          <w:rFonts w:ascii="Times New Roman" w:hAnsi="Times New Roman" w:eastAsia="宋体"/>
          <w:b w:val="0"/>
          <w:sz w:val="24"/>
        </w:rPr>
        <w:t>— 在轿厢内设置显著提示标识；</w:t>
      </w:r>
    </w:p>
    <w:p w14:paraId="38F55A42">
      <w:pPr>
        <w:spacing w:after="80" w:line="360" w:lineRule="auto"/>
        <w:ind w:left="480" w:firstLine="0"/>
      </w:pPr>
      <w:r>
        <w:rPr>
          <w:rFonts w:ascii="Times New Roman" w:hAnsi="Times New Roman" w:eastAsia="宋体"/>
          <w:b w:val="0"/>
          <w:sz w:val="24"/>
        </w:rPr>
        <w:t>— 系统投入使用后按规定期限向所在地公安机关备案；</w:t>
      </w:r>
    </w:p>
    <w:p w14:paraId="699ADA36">
      <w:pPr>
        <w:spacing w:after="80" w:line="360" w:lineRule="auto"/>
        <w:ind w:left="480" w:firstLine="0"/>
      </w:pPr>
      <w:r>
        <w:rPr>
          <w:rFonts w:ascii="Times New Roman" w:hAnsi="Times New Roman" w:eastAsia="宋体"/>
          <w:b w:val="0"/>
          <w:sz w:val="24"/>
        </w:rPr>
        <w:t>— 视频图像信息保存不少于30日，到期依规删除；</w:t>
      </w:r>
    </w:p>
    <w:p w14:paraId="73023CE1">
      <w:pPr>
        <w:spacing w:after="80" w:line="360" w:lineRule="auto"/>
        <w:ind w:left="480" w:firstLine="0"/>
      </w:pPr>
      <w:r>
        <w:rPr>
          <w:rFonts w:ascii="Times New Roman" w:hAnsi="Times New Roman" w:eastAsia="宋体"/>
          <w:b w:val="0"/>
          <w:sz w:val="24"/>
        </w:rPr>
        <w:t>— 建立授权管理、访问控制与调用登记制度，严格规范查阅与调取行为；</w:t>
      </w:r>
    </w:p>
    <w:p w14:paraId="64DF6A72">
      <w:pPr>
        <w:spacing w:after="80" w:line="360" w:lineRule="auto"/>
        <w:ind w:left="480" w:firstLine="0"/>
      </w:pPr>
      <w:r>
        <w:rPr>
          <w:rFonts w:ascii="Times New Roman" w:hAnsi="Times New Roman" w:eastAsia="宋体"/>
          <w:b w:val="0"/>
          <w:sz w:val="24"/>
        </w:rPr>
        <w:t>— 委托运营的，签订安全保密协议并监督履行。</w:t>
      </w:r>
    </w:p>
    <w:p w14:paraId="1779554B">
      <w:pPr>
        <w:spacing w:before="240" w:after="120" w:line="360" w:lineRule="auto"/>
      </w:pPr>
      <w:r>
        <w:rPr>
          <w:rFonts w:ascii="Times New Roman" w:hAnsi="Times New Roman" w:eastAsia="黑体"/>
          <w:b w:val="0"/>
          <w:color w:val="1F3A5F"/>
          <w:sz w:val="28"/>
        </w:rPr>
        <w:t>8.3 数据与网络安全</w:t>
      </w:r>
    </w:p>
    <w:p w14:paraId="4C690C60">
      <w:pPr>
        <w:spacing w:before="0" w:after="120" w:line="360" w:lineRule="auto"/>
        <w:ind w:firstLine="480"/>
      </w:pPr>
      <w:r>
        <w:rPr>
          <w:rFonts w:ascii="Times New Roman" w:hAnsi="Times New Roman" w:eastAsia="宋体"/>
          <w:b w:val="0"/>
          <w:sz w:val="24"/>
        </w:rPr>
        <w:t>遵循《网络安全法》《数据安全法》《个人信息保护法》要求，传输全程加密，平台按等级保护要求建设，实行分级授权与操作留痕，敏感信息在对外展示与共享环节做脱敏处理。</w:t>
      </w:r>
    </w:p>
    <w:p w14:paraId="3D63F74D">
      <w:pPr>
        <w:spacing w:before="240" w:after="120" w:line="360" w:lineRule="auto"/>
      </w:pPr>
      <w:r>
        <w:rPr>
          <w:rFonts w:ascii="Times New Roman" w:hAnsi="Times New Roman" w:eastAsia="黑体"/>
          <w:b w:val="0"/>
          <w:color w:val="1F3A5F"/>
          <w:sz w:val="28"/>
        </w:rPr>
        <w:t>8.4 运维保障</w:t>
      </w:r>
    </w:p>
    <w:p w14:paraId="14FBC35F">
      <w:pPr>
        <w:spacing w:before="0" w:after="120" w:line="360" w:lineRule="auto"/>
        <w:ind w:firstLine="480"/>
      </w:pPr>
      <w:r>
        <w:rPr>
          <w:rFonts w:ascii="Times New Roman" w:hAnsi="Times New Roman" w:eastAsia="宋体"/>
          <w:b w:val="0"/>
          <w:sz w:val="24"/>
        </w:rPr>
        <w:t>建立设备在线率监测与故障自诊断机制，前端离线、摄像机遮挡、电源异常等状态自动告警并生成运维工单，确保哨点长期"在岗"，避免建成即失管。</w:t>
      </w:r>
    </w:p>
    <w:p w14:paraId="63919568">
      <w:pPr>
        <w:spacing w:before="360" w:after="200" w:line="360" w:lineRule="auto"/>
      </w:pPr>
      <w:r>
        <w:rPr>
          <w:rFonts w:ascii="Times New Roman" w:hAnsi="Times New Roman" w:eastAsia="黑体"/>
          <w:b w:val="0"/>
          <w:color w:val="1F3A5F"/>
          <w:sz w:val="32"/>
        </w:rPr>
        <w:t>九、成效指标</w:t>
      </w:r>
    </w:p>
    <w:p w14:paraId="786E0F76">
      <w:pPr>
        <w:spacing w:before="0" w:after="120" w:line="360" w:lineRule="auto"/>
        <w:ind w:firstLine="480"/>
      </w:pPr>
      <w:r>
        <w:rPr>
          <w:rFonts w:ascii="Times New Roman" w:hAnsi="Times New Roman" w:eastAsia="宋体"/>
          <w:b w:val="0"/>
          <w:sz w:val="24"/>
        </w:rPr>
        <w:t>本方案成效以可量化、可考核的时间指标与闭环指标衡量：</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54"/>
        <w:gridCol w:w="3515"/>
      </w:tblGrid>
      <w:tr w14:paraId="6559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835" w:type="dxa"/>
            <w:shd w:val="clear" w:color="auto" w:fill="1F3A5F"/>
            <w:vAlign w:val="center"/>
          </w:tcPr>
          <w:p w14:paraId="4F0A87AD">
            <w:pPr>
              <w:spacing w:before="40" w:after="40" w:line="276" w:lineRule="auto"/>
              <w:jc w:val="center"/>
            </w:pPr>
            <w:r>
              <w:rPr>
                <w:rFonts w:ascii="Times New Roman" w:hAnsi="Times New Roman" w:eastAsia="黑体"/>
                <w:b/>
                <w:color w:val="FFFFFF"/>
                <w:sz w:val="21"/>
              </w:rPr>
              <w:t>指标</w:t>
            </w:r>
          </w:p>
        </w:tc>
        <w:tc>
          <w:tcPr>
            <w:tcW w:w="2154" w:type="dxa"/>
            <w:shd w:val="clear" w:color="auto" w:fill="1F3A5F"/>
            <w:vAlign w:val="center"/>
          </w:tcPr>
          <w:p w14:paraId="67E016F3">
            <w:pPr>
              <w:spacing w:before="40" w:after="40" w:line="276" w:lineRule="auto"/>
              <w:jc w:val="center"/>
            </w:pPr>
            <w:r>
              <w:rPr>
                <w:rFonts w:ascii="Times New Roman" w:hAnsi="Times New Roman" w:eastAsia="黑体"/>
                <w:b/>
                <w:color w:val="FFFFFF"/>
                <w:sz w:val="21"/>
              </w:rPr>
              <w:t>目标值</w:t>
            </w:r>
          </w:p>
        </w:tc>
        <w:tc>
          <w:tcPr>
            <w:tcW w:w="3515" w:type="dxa"/>
            <w:shd w:val="clear" w:color="auto" w:fill="1F3A5F"/>
            <w:vAlign w:val="center"/>
          </w:tcPr>
          <w:p w14:paraId="11E48F61">
            <w:pPr>
              <w:spacing w:before="40" w:after="40" w:line="276" w:lineRule="auto"/>
              <w:jc w:val="center"/>
            </w:pPr>
            <w:r>
              <w:rPr>
                <w:rFonts w:ascii="Times New Roman" w:hAnsi="Times New Roman" w:eastAsia="黑体"/>
                <w:b/>
                <w:color w:val="FFFFFF"/>
                <w:sz w:val="21"/>
              </w:rPr>
              <w:t>说明</w:t>
            </w:r>
          </w:p>
        </w:tc>
      </w:tr>
      <w:tr w14:paraId="34D9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E60C985">
            <w:pPr>
              <w:spacing w:before="40" w:after="40" w:line="276" w:lineRule="auto"/>
              <w:jc w:val="center"/>
            </w:pPr>
            <w:r>
              <w:rPr>
                <w:rFonts w:ascii="Times New Roman" w:hAnsi="Times New Roman" w:eastAsia="宋体"/>
                <w:b w:val="0"/>
                <w:sz w:val="21"/>
              </w:rPr>
              <w:t>困人事件发现率</w:t>
            </w:r>
          </w:p>
        </w:tc>
        <w:tc>
          <w:tcPr>
            <w:tcW w:w="2154" w:type="dxa"/>
            <w:vAlign w:val="center"/>
          </w:tcPr>
          <w:p w14:paraId="09546C09">
            <w:pPr>
              <w:spacing w:before="40" w:after="40" w:line="276" w:lineRule="auto"/>
              <w:jc w:val="center"/>
            </w:pPr>
            <w:r>
              <w:rPr>
                <w:rFonts w:ascii="Times New Roman" w:hAnsi="Times New Roman" w:eastAsia="宋体"/>
                <w:b w:val="0"/>
                <w:sz w:val="21"/>
              </w:rPr>
              <w:t>100%</w:t>
            </w:r>
          </w:p>
        </w:tc>
        <w:tc>
          <w:tcPr>
            <w:tcW w:w="3515" w:type="dxa"/>
            <w:vAlign w:val="center"/>
          </w:tcPr>
          <w:p w14:paraId="55515686">
            <w:pPr>
              <w:spacing w:before="40" w:after="40" w:line="276" w:lineRule="auto"/>
              <w:jc w:val="center"/>
            </w:pPr>
            <w:r>
              <w:rPr>
                <w:rFonts w:ascii="Times New Roman" w:hAnsi="Times New Roman" w:eastAsia="宋体"/>
                <w:b w:val="0"/>
                <w:sz w:val="21"/>
              </w:rPr>
              <w:t>不再依赖被困人主动呼救</w:t>
            </w:r>
          </w:p>
        </w:tc>
      </w:tr>
      <w:tr w14:paraId="7AA3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EFEE07D">
            <w:pPr>
              <w:spacing w:before="40" w:after="40" w:line="276" w:lineRule="auto"/>
              <w:jc w:val="center"/>
            </w:pPr>
            <w:r>
              <w:rPr>
                <w:rFonts w:ascii="Times New Roman" w:hAnsi="Times New Roman" w:eastAsia="宋体"/>
                <w:b w:val="0"/>
                <w:sz w:val="21"/>
              </w:rPr>
              <w:t>警情核警时间</w:t>
            </w:r>
          </w:p>
        </w:tc>
        <w:tc>
          <w:tcPr>
            <w:tcW w:w="2154" w:type="dxa"/>
            <w:vAlign w:val="center"/>
          </w:tcPr>
          <w:p w14:paraId="0514613D">
            <w:pPr>
              <w:spacing w:before="40" w:after="40" w:line="276" w:lineRule="auto"/>
              <w:jc w:val="center"/>
            </w:pPr>
            <w:r>
              <w:rPr>
                <w:rFonts w:ascii="Times New Roman" w:hAnsi="Times New Roman" w:eastAsia="宋体"/>
                <w:b w:val="0"/>
                <w:sz w:val="21"/>
              </w:rPr>
              <w:t>不超过1分钟</w:t>
            </w:r>
          </w:p>
        </w:tc>
        <w:tc>
          <w:tcPr>
            <w:tcW w:w="3515" w:type="dxa"/>
            <w:vAlign w:val="center"/>
          </w:tcPr>
          <w:p w14:paraId="22BF9DC1">
            <w:pPr>
              <w:spacing w:before="40" w:after="40" w:line="276" w:lineRule="auto"/>
              <w:jc w:val="center"/>
            </w:pPr>
            <w:r>
              <w:rPr>
                <w:rFonts w:ascii="Times New Roman" w:hAnsi="Times New Roman" w:eastAsia="宋体"/>
                <w:b w:val="0"/>
                <w:sz w:val="21"/>
              </w:rPr>
              <w:t>完成有人无人与事件类型判定</w:t>
            </w:r>
          </w:p>
        </w:tc>
      </w:tr>
      <w:tr w14:paraId="6A63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CD51F3C">
            <w:pPr>
              <w:spacing w:before="40" w:after="40" w:line="276" w:lineRule="auto"/>
              <w:jc w:val="center"/>
            </w:pPr>
            <w:r>
              <w:rPr>
                <w:rFonts w:ascii="Times New Roman" w:hAnsi="Times New Roman" w:eastAsia="宋体"/>
                <w:b w:val="0"/>
                <w:sz w:val="21"/>
              </w:rPr>
              <w:t>最小应急单元到场时间</w:t>
            </w:r>
          </w:p>
        </w:tc>
        <w:tc>
          <w:tcPr>
            <w:tcW w:w="2154" w:type="dxa"/>
            <w:vAlign w:val="center"/>
          </w:tcPr>
          <w:p w14:paraId="617AE780">
            <w:pPr>
              <w:spacing w:before="40" w:after="40" w:line="276" w:lineRule="auto"/>
              <w:jc w:val="center"/>
            </w:pPr>
            <w:r>
              <w:rPr>
                <w:rFonts w:ascii="Times New Roman" w:hAnsi="Times New Roman" w:eastAsia="宋体"/>
                <w:b w:val="0"/>
                <w:sz w:val="21"/>
              </w:rPr>
              <w:t>不超过3分钟</w:t>
            </w:r>
          </w:p>
        </w:tc>
        <w:tc>
          <w:tcPr>
            <w:tcW w:w="3515" w:type="dxa"/>
            <w:vAlign w:val="center"/>
          </w:tcPr>
          <w:p w14:paraId="1156DEA8">
            <w:pPr>
              <w:spacing w:before="40" w:after="40" w:line="276" w:lineRule="auto"/>
              <w:jc w:val="center"/>
            </w:pPr>
            <w:r>
              <w:rPr>
                <w:rFonts w:ascii="Times New Roman" w:hAnsi="Times New Roman" w:eastAsia="宋体"/>
                <w:b w:val="0"/>
                <w:sz w:val="21"/>
              </w:rPr>
              <w:t>现场安抚与先期处置</w:t>
            </w:r>
          </w:p>
        </w:tc>
      </w:tr>
      <w:tr w14:paraId="5A21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C43EA0A">
            <w:pPr>
              <w:spacing w:before="40" w:after="40" w:line="276" w:lineRule="auto"/>
              <w:jc w:val="center"/>
            </w:pPr>
            <w:r>
              <w:rPr>
                <w:rFonts w:ascii="Times New Roman" w:hAnsi="Times New Roman" w:eastAsia="宋体"/>
                <w:b w:val="0"/>
                <w:sz w:val="21"/>
              </w:rPr>
              <w:t>平均困人时长</w:t>
            </w:r>
          </w:p>
        </w:tc>
        <w:tc>
          <w:tcPr>
            <w:tcW w:w="2154" w:type="dxa"/>
            <w:vAlign w:val="center"/>
          </w:tcPr>
          <w:p w14:paraId="61E615B7">
            <w:pPr>
              <w:spacing w:before="40" w:after="40" w:line="276" w:lineRule="auto"/>
              <w:jc w:val="center"/>
            </w:pPr>
            <w:r>
              <w:rPr>
                <w:rFonts w:ascii="Times New Roman" w:hAnsi="Times New Roman" w:eastAsia="宋体"/>
                <w:b w:val="0"/>
                <w:sz w:val="21"/>
              </w:rPr>
              <w:t>控制在10分钟以内</w:t>
            </w:r>
          </w:p>
        </w:tc>
        <w:tc>
          <w:tcPr>
            <w:tcW w:w="3515" w:type="dxa"/>
            <w:vAlign w:val="center"/>
          </w:tcPr>
          <w:p w14:paraId="472C1F9E">
            <w:pPr>
              <w:spacing w:before="40" w:after="40" w:line="276" w:lineRule="auto"/>
              <w:jc w:val="center"/>
            </w:pPr>
            <w:r>
              <w:rPr>
                <w:rFonts w:ascii="Times New Roman" w:hAnsi="Times New Roman" w:eastAsia="宋体"/>
                <w:b w:val="0"/>
                <w:sz w:val="21"/>
              </w:rPr>
              <w:t>自触发至人员脱困</w:t>
            </w:r>
          </w:p>
        </w:tc>
      </w:tr>
      <w:tr w14:paraId="2C39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70E64DD2">
            <w:pPr>
              <w:spacing w:before="40" w:after="40" w:line="276" w:lineRule="auto"/>
              <w:jc w:val="center"/>
            </w:pPr>
            <w:r>
              <w:rPr>
                <w:rFonts w:ascii="Times New Roman" w:hAnsi="Times New Roman" w:eastAsia="宋体"/>
                <w:b w:val="0"/>
                <w:sz w:val="21"/>
              </w:rPr>
              <w:t>专业救援到场时间</w:t>
            </w:r>
          </w:p>
        </w:tc>
        <w:tc>
          <w:tcPr>
            <w:tcW w:w="2154" w:type="dxa"/>
            <w:vAlign w:val="center"/>
          </w:tcPr>
          <w:p w14:paraId="58A118D9">
            <w:pPr>
              <w:spacing w:before="40" w:after="40" w:line="276" w:lineRule="auto"/>
              <w:jc w:val="center"/>
            </w:pPr>
            <w:r>
              <w:rPr>
                <w:rFonts w:ascii="Times New Roman" w:hAnsi="Times New Roman" w:eastAsia="宋体"/>
                <w:b w:val="0"/>
                <w:sz w:val="21"/>
              </w:rPr>
              <w:t>不超过30分钟</w:t>
            </w:r>
          </w:p>
        </w:tc>
        <w:tc>
          <w:tcPr>
            <w:tcW w:w="3515" w:type="dxa"/>
            <w:vAlign w:val="center"/>
          </w:tcPr>
          <w:p w14:paraId="71F818B4">
            <w:pPr>
              <w:spacing w:before="40" w:after="40" w:line="276" w:lineRule="auto"/>
              <w:jc w:val="center"/>
            </w:pPr>
            <w:r>
              <w:rPr>
                <w:rFonts w:ascii="Times New Roman" w:hAnsi="Times New Roman" w:eastAsia="宋体"/>
                <w:b w:val="0"/>
                <w:sz w:val="21"/>
              </w:rPr>
              <w:t>符合法定救援时限要求</w:t>
            </w:r>
          </w:p>
        </w:tc>
      </w:tr>
      <w:tr w14:paraId="72F9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195B028">
            <w:pPr>
              <w:spacing w:before="40" w:after="40" w:line="276" w:lineRule="auto"/>
              <w:jc w:val="center"/>
            </w:pPr>
            <w:r>
              <w:rPr>
                <w:rFonts w:ascii="Times New Roman" w:hAnsi="Times New Roman" w:eastAsia="宋体"/>
                <w:b w:val="0"/>
                <w:sz w:val="21"/>
              </w:rPr>
              <w:t>无效出警下降幅度</w:t>
            </w:r>
          </w:p>
        </w:tc>
        <w:tc>
          <w:tcPr>
            <w:tcW w:w="2154" w:type="dxa"/>
            <w:vAlign w:val="center"/>
          </w:tcPr>
          <w:p w14:paraId="74189631">
            <w:pPr>
              <w:spacing w:before="40" w:after="40" w:line="276" w:lineRule="auto"/>
              <w:jc w:val="center"/>
            </w:pPr>
            <w:r>
              <w:rPr>
                <w:rFonts w:ascii="Times New Roman" w:hAnsi="Times New Roman" w:eastAsia="宋体"/>
                <w:b w:val="0"/>
                <w:sz w:val="21"/>
              </w:rPr>
              <w:t>不低于50%</w:t>
            </w:r>
          </w:p>
        </w:tc>
        <w:tc>
          <w:tcPr>
            <w:tcW w:w="3515" w:type="dxa"/>
            <w:vAlign w:val="center"/>
          </w:tcPr>
          <w:p w14:paraId="01454979">
            <w:pPr>
              <w:spacing w:before="40" w:after="40" w:line="276" w:lineRule="auto"/>
              <w:jc w:val="center"/>
            </w:pPr>
            <w:r>
              <w:rPr>
                <w:rFonts w:ascii="Times New Roman" w:hAnsi="Times New Roman" w:eastAsia="宋体"/>
                <w:b w:val="0"/>
                <w:sz w:val="21"/>
              </w:rPr>
              <w:t>视频核警带来的直接效益</w:t>
            </w:r>
          </w:p>
        </w:tc>
      </w:tr>
      <w:tr w14:paraId="1B69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8FF445D">
            <w:pPr>
              <w:spacing w:before="40" w:after="40" w:line="276" w:lineRule="auto"/>
              <w:jc w:val="center"/>
            </w:pPr>
            <w:r>
              <w:rPr>
                <w:rFonts w:ascii="Times New Roman" w:hAnsi="Times New Roman" w:eastAsia="宋体"/>
                <w:b w:val="0"/>
                <w:sz w:val="21"/>
              </w:rPr>
              <w:t>锂电池车辆入梯拦截率</w:t>
            </w:r>
          </w:p>
        </w:tc>
        <w:tc>
          <w:tcPr>
            <w:tcW w:w="2154" w:type="dxa"/>
            <w:vAlign w:val="center"/>
          </w:tcPr>
          <w:p w14:paraId="2589F07C">
            <w:pPr>
              <w:spacing w:before="40" w:after="40" w:line="276" w:lineRule="auto"/>
              <w:jc w:val="center"/>
            </w:pPr>
            <w:r>
              <w:rPr>
                <w:rFonts w:ascii="Times New Roman" w:hAnsi="Times New Roman" w:eastAsia="宋体"/>
                <w:b w:val="0"/>
                <w:sz w:val="21"/>
              </w:rPr>
              <w:t>不低于95%</w:t>
            </w:r>
          </w:p>
        </w:tc>
        <w:tc>
          <w:tcPr>
            <w:tcW w:w="3515" w:type="dxa"/>
            <w:vAlign w:val="center"/>
          </w:tcPr>
          <w:p w14:paraId="3D571799">
            <w:pPr>
              <w:spacing w:before="40" w:after="40" w:line="276" w:lineRule="auto"/>
              <w:jc w:val="center"/>
            </w:pPr>
            <w:r>
              <w:rPr>
                <w:rFonts w:ascii="Times New Roman" w:hAnsi="Times New Roman" w:eastAsia="宋体"/>
                <w:b w:val="0"/>
                <w:sz w:val="21"/>
              </w:rPr>
              <w:t>风险前置阻断</w:t>
            </w:r>
          </w:p>
        </w:tc>
      </w:tr>
      <w:tr w14:paraId="2ADD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CFE57E3">
            <w:pPr>
              <w:spacing w:before="40" w:after="40" w:line="276" w:lineRule="auto"/>
              <w:jc w:val="center"/>
            </w:pPr>
            <w:r>
              <w:rPr>
                <w:rFonts w:ascii="Times New Roman" w:hAnsi="Times New Roman" w:eastAsia="宋体"/>
                <w:b w:val="0"/>
                <w:sz w:val="21"/>
              </w:rPr>
              <w:t>处置过程留痕率</w:t>
            </w:r>
          </w:p>
        </w:tc>
        <w:tc>
          <w:tcPr>
            <w:tcW w:w="2154" w:type="dxa"/>
            <w:vAlign w:val="center"/>
          </w:tcPr>
          <w:p w14:paraId="28FF2E0D">
            <w:pPr>
              <w:spacing w:before="40" w:after="40" w:line="276" w:lineRule="auto"/>
              <w:jc w:val="center"/>
            </w:pPr>
            <w:r>
              <w:rPr>
                <w:rFonts w:ascii="Times New Roman" w:hAnsi="Times New Roman" w:eastAsia="宋体"/>
                <w:b w:val="0"/>
                <w:sz w:val="21"/>
              </w:rPr>
              <w:t>100%</w:t>
            </w:r>
          </w:p>
        </w:tc>
        <w:tc>
          <w:tcPr>
            <w:tcW w:w="3515" w:type="dxa"/>
            <w:vAlign w:val="center"/>
          </w:tcPr>
          <w:p w14:paraId="58470D5C">
            <w:pPr>
              <w:spacing w:before="40" w:after="40" w:line="276" w:lineRule="auto"/>
              <w:jc w:val="center"/>
            </w:pPr>
            <w:r>
              <w:rPr>
                <w:rFonts w:ascii="Times New Roman" w:hAnsi="Times New Roman" w:eastAsia="宋体"/>
                <w:b w:val="0"/>
                <w:sz w:val="21"/>
              </w:rPr>
              <w:t>全过程可追溯、可考核</w:t>
            </w:r>
          </w:p>
        </w:tc>
      </w:tr>
    </w:tbl>
    <w:p w14:paraId="6F0AFE0B">
      <w:pPr>
        <w:spacing w:after="0"/>
      </w:pPr>
    </w:p>
    <w:p w14:paraId="01C619CB">
      <w:pPr>
        <w:spacing w:before="360" w:after="200" w:line="360" w:lineRule="auto"/>
      </w:pPr>
      <w:r>
        <w:rPr>
          <w:rFonts w:ascii="Times New Roman" w:hAnsi="Times New Roman" w:eastAsia="黑体"/>
          <w:b w:val="0"/>
          <w:color w:val="1F3A5F"/>
          <w:sz w:val="32"/>
        </w:rPr>
        <w:t>十、资金保障路径</w:t>
      </w:r>
    </w:p>
    <w:p w14:paraId="1DE38110">
      <w:pPr>
        <w:spacing w:before="0" w:after="120" w:line="360" w:lineRule="auto"/>
        <w:ind w:firstLine="480"/>
      </w:pPr>
      <w:r>
        <w:rPr>
          <w:rFonts w:ascii="Times New Roman" w:hAnsi="Times New Roman" w:eastAsia="宋体"/>
          <w:b w:val="0"/>
          <w:sz w:val="24"/>
        </w:rPr>
        <w:t>本方案单台投入低、可分批实施，资金来源具备多元组合空间：</w:t>
      </w:r>
    </w:p>
    <w:p w14:paraId="33F9A205">
      <w:pPr>
        <w:spacing w:after="80" w:line="360" w:lineRule="auto"/>
        <w:ind w:left="480" w:firstLine="0"/>
      </w:pPr>
      <w:r>
        <w:rPr>
          <w:rFonts w:ascii="Times New Roman" w:hAnsi="Times New Roman" w:eastAsia="宋体"/>
          <w:b w:val="0"/>
          <w:sz w:val="24"/>
        </w:rPr>
        <w:t>— 结合住宅老旧电梯更新改造工作，在电梯更新时同步加装应急哨点，共享超长期特别国债等专项资金支持；</w:t>
      </w:r>
    </w:p>
    <w:p w14:paraId="6F12C4A3">
      <w:pPr>
        <w:spacing w:after="80" w:line="360" w:lineRule="auto"/>
        <w:ind w:left="480" w:firstLine="0"/>
      </w:pPr>
      <w:r>
        <w:rPr>
          <w:rFonts w:ascii="Times New Roman" w:hAnsi="Times New Roman" w:eastAsia="宋体"/>
          <w:b w:val="0"/>
          <w:sz w:val="24"/>
        </w:rPr>
        <w:t>— 纳入基层应急能力建设、平安建设、城市安全风险监测预警平台等财政专项；</w:t>
      </w:r>
    </w:p>
    <w:p w14:paraId="300EA8DC">
      <w:pPr>
        <w:spacing w:after="80" w:line="360" w:lineRule="auto"/>
        <w:ind w:left="480" w:firstLine="0"/>
      </w:pPr>
      <w:r>
        <w:rPr>
          <w:rFonts w:ascii="Times New Roman" w:hAnsi="Times New Roman" w:eastAsia="宋体"/>
          <w:b w:val="0"/>
          <w:sz w:val="24"/>
        </w:rPr>
        <w:t>— 依法依规使用住宅专项维修资金及其增值收益、小区公共收益；</w:t>
      </w:r>
    </w:p>
    <w:p w14:paraId="29D588C1">
      <w:pPr>
        <w:spacing w:after="80" w:line="360" w:lineRule="auto"/>
        <w:ind w:left="480" w:firstLine="0"/>
      </w:pPr>
      <w:r>
        <w:rPr>
          <w:rFonts w:ascii="Times New Roman" w:hAnsi="Times New Roman" w:eastAsia="宋体"/>
          <w:b w:val="0"/>
          <w:sz w:val="24"/>
        </w:rPr>
        <w:t>— 引入保险机制，由承保电梯安全责任险的保险机构参与投入，以事故率与赔付率下降覆盖建设成本；</w:t>
      </w:r>
    </w:p>
    <w:p w14:paraId="2979EF76">
      <w:pPr>
        <w:spacing w:after="80" w:line="360" w:lineRule="auto"/>
        <w:ind w:left="480" w:firstLine="0"/>
      </w:pPr>
      <w:r>
        <w:rPr>
          <w:rFonts w:ascii="Times New Roman" w:hAnsi="Times New Roman" w:eastAsia="宋体"/>
          <w:b w:val="0"/>
          <w:sz w:val="24"/>
        </w:rPr>
        <w:t>— 公共建筑、商务楼宇、工业园区等由产权或经营管理单位按安全防范义务自行投入。</w:t>
      </w:r>
    </w:p>
    <w:p w14:paraId="3E927610">
      <w:pPr>
        <w:spacing w:before="360" w:after="200" w:line="360" w:lineRule="auto"/>
      </w:pPr>
      <w:r>
        <w:rPr>
          <w:rFonts w:ascii="Times New Roman" w:hAnsi="Times New Roman" w:eastAsia="黑体"/>
          <w:b w:val="0"/>
          <w:color w:val="1F3A5F"/>
          <w:sz w:val="32"/>
        </w:rPr>
        <w:t>十一、典型场景推演</w:t>
      </w:r>
    </w:p>
    <w:p w14:paraId="62C11ED3">
      <w:pPr>
        <w:spacing w:before="240" w:after="120" w:line="360" w:lineRule="auto"/>
      </w:pPr>
      <w:r>
        <w:rPr>
          <w:rFonts w:ascii="Times New Roman" w:hAnsi="Times New Roman" w:eastAsia="黑体"/>
          <w:b w:val="0"/>
          <w:color w:val="1F3A5F"/>
          <w:sz w:val="28"/>
        </w:rPr>
        <w:t>场景一：夜间停电，老人独自被困</w:t>
      </w:r>
    </w:p>
    <w:p w14:paraId="33C0FB31">
      <w:pPr>
        <w:spacing w:before="0" w:after="120" w:line="360" w:lineRule="auto"/>
        <w:ind w:firstLine="480"/>
      </w:pPr>
      <w:r>
        <w:rPr>
          <w:rFonts w:ascii="Times New Roman" w:hAnsi="Times New Roman" w:eastAsia="宋体"/>
          <w:b w:val="0"/>
          <w:sz w:val="24"/>
        </w:rPr>
        <w:t>某高层住宅夜间突发停电，一位独居老人被困轿厢。老人不会使用报警按钮，也未携带手机。</w:t>
      </w:r>
    </w:p>
    <w:p w14:paraId="3C494521">
      <w:pPr>
        <w:spacing w:before="0" w:after="120" w:line="360" w:lineRule="auto"/>
        <w:ind w:firstLine="480"/>
      </w:pPr>
      <w:r>
        <w:rPr>
          <w:rFonts w:ascii="Times New Roman" w:hAnsi="Times New Roman" w:eastAsia="宋体"/>
          <w:b w:val="0"/>
          <w:sz w:val="24"/>
        </w:rPr>
        <w:t>哨点终端切换至后备电源与无线备份链路继续工作，AI算法识别到轿厢内有人且电梯长时间停止，自动触发二级警情；核警确认为单人被困、疑似老年人，警情等级提升。物业值班岗在1分钟内建立可视对讲，安抚老人并告知救援已出发；最小应急单元成员3分钟内到达层门外持续喊话陪伴；维保应急人员到场后实施解救。全过程留痕归档。</w:t>
      </w:r>
    </w:p>
    <w:p w14:paraId="556B6455">
      <w:pPr>
        <w:spacing w:before="240" w:after="120" w:line="360" w:lineRule="auto"/>
      </w:pPr>
      <w:r>
        <w:rPr>
          <w:rFonts w:ascii="Times New Roman" w:hAnsi="Times New Roman" w:eastAsia="黑体"/>
          <w:b w:val="0"/>
          <w:color w:val="1F3A5F"/>
          <w:sz w:val="28"/>
        </w:rPr>
        <w:t>场景二：电动自行车推入轿厢</w:t>
      </w:r>
    </w:p>
    <w:p w14:paraId="2DDA8609">
      <w:pPr>
        <w:spacing w:before="0" w:after="120" w:line="360" w:lineRule="auto"/>
        <w:ind w:firstLine="480"/>
      </w:pPr>
      <w:r>
        <w:rPr>
          <w:rFonts w:ascii="Times New Roman" w:hAnsi="Times New Roman" w:eastAsia="宋体"/>
          <w:b w:val="0"/>
          <w:sz w:val="24"/>
        </w:rPr>
        <w:t>居民推电动自行车进入电梯，前端算法即时识别，语音劝阻并联动保持开门不运行；居民推出后电梯恢复正常。系统记录该次拦截，纳入区域风险统计，对高频发生的楼栋推送重点宣传与治理提示。</w:t>
      </w:r>
    </w:p>
    <w:p w14:paraId="22FBE3B2">
      <w:pPr>
        <w:spacing w:before="240" w:after="120" w:line="360" w:lineRule="auto"/>
      </w:pPr>
      <w:r>
        <w:rPr>
          <w:rFonts w:ascii="Times New Roman" w:hAnsi="Times New Roman" w:eastAsia="黑体"/>
          <w:b w:val="0"/>
          <w:color w:val="1F3A5F"/>
          <w:sz w:val="28"/>
        </w:rPr>
        <w:t>场景三：乘客突发疾病倒地</w:t>
      </w:r>
    </w:p>
    <w:p w14:paraId="0CD64F93">
      <w:pPr>
        <w:spacing w:before="0" w:after="120" w:line="360" w:lineRule="auto"/>
        <w:ind w:firstLine="480"/>
      </w:pPr>
      <w:r>
        <w:rPr>
          <w:rFonts w:ascii="Times New Roman" w:hAnsi="Times New Roman" w:eastAsia="宋体"/>
          <w:b w:val="0"/>
          <w:sz w:val="24"/>
        </w:rPr>
        <w:t>一名乘客在轿厢内突然倒地。算法识别到人员倒地且持续无动作，立即触发一级警情并推送证据包；值班岗通过可视对讲确认无应答，同步呼叫120并通知最小应急单元；电梯就近平层开门，单元成员到场实施初步救护，为专业急救争取时间。</w:t>
      </w:r>
    </w:p>
    <w:p w14:paraId="07A47A67">
      <w:pPr>
        <w:spacing w:before="360" w:after="200" w:line="360" w:lineRule="auto"/>
      </w:pPr>
      <w:r>
        <w:rPr>
          <w:rFonts w:ascii="Times New Roman" w:hAnsi="Times New Roman" w:eastAsia="黑体"/>
          <w:b w:val="0"/>
          <w:color w:val="1F3A5F"/>
          <w:sz w:val="32"/>
        </w:rPr>
        <w:t>附录：政策与标准清单</w:t>
      </w:r>
    </w:p>
    <w:p w14:paraId="0F0DD2C4">
      <w:pPr>
        <w:spacing w:after="80" w:line="360" w:lineRule="auto"/>
        <w:ind w:left="480" w:firstLine="0"/>
      </w:pPr>
      <w:r>
        <w:rPr>
          <w:rFonts w:ascii="Times New Roman" w:hAnsi="Times New Roman" w:eastAsia="宋体"/>
          <w:b w:val="0"/>
          <w:sz w:val="24"/>
        </w:rPr>
        <w:t>— 《中华人民共和国特种设备安全法》</w:t>
      </w:r>
    </w:p>
    <w:p w14:paraId="6773C1E5">
      <w:pPr>
        <w:spacing w:after="80" w:line="360" w:lineRule="auto"/>
        <w:ind w:left="480" w:firstLine="0"/>
      </w:pPr>
      <w:r>
        <w:rPr>
          <w:rFonts w:ascii="Times New Roman" w:hAnsi="Times New Roman" w:eastAsia="宋体"/>
          <w:b w:val="0"/>
          <w:sz w:val="24"/>
        </w:rPr>
        <w:t>— 《中华人民共和国突发事件应对法》</w:t>
      </w:r>
    </w:p>
    <w:p w14:paraId="0F4DE263">
      <w:pPr>
        <w:spacing w:after="80" w:line="360" w:lineRule="auto"/>
        <w:ind w:left="480" w:firstLine="0"/>
      </w:pPr>
      <w:r>
        <w:rPr>
          <w:rFonts w:ascii="Times New Roman" w:hAnsi="Times New Roman" w:eastAsia="宋体"/>
          <w:b w:val="0"/>
          <w:sz w:val="24"/>
        </w:rPr>
        <w:t>— 《中华人民共和国网络安全法》《中华人民共和国数据安全法》《中华人民共和国个人信息保护法》</w:t>
      </w:r>
    </w:p>
    <w:p w14:paraId="421B64E8">
      <w:pPr>
        <w:spacing w:after="80" w:line="360" w:lineRule="auto"/>
        <w:ind w:left="480" w:firstLine="0"/>
      </w:pPr>
      <w:r>
        <w:rPr>
          <w:rFonts w:ascii="Times New Roman" w:hAnsi="Times New Roman" w:eastAsia="宋体"/>
          <w:b w:val="0"/>
          <w:sz w:val="24"/>
        </w:rPr>
        <w:t>— 《公共安全视频图像信息系统管理条例》（国务院令第799号）</w:t>
      </w:r>
    </w:p>
    <w:p w14:paraId="466C5343">
      <w:pPr>
        <w:spacing w:after="80" w:line="360" w:lineRule="auto"/>
        <w:ind w:left="480" w:firstLine="0"/>
      </w:pPr>
      <w:r>
        <w:rPr>
          <w:rFonts w:ascii="Times New Roman" w:hAnsi="Times New Roman" w:eastAsia="宋体"/>
          <w:b w:val="0"/>
          <w:sz w:val="24"/>
        </w:rPr>
        <w:t>— 《电梯安全筑底三年行动方案（2023—2025年）》（国市监特设发〔2023〕46号）</w:t>
      </w:r>
    </w:p>
    <w:p w14:paraId="72E3F36F">
      <w:pPr>
        <w:spacing w:after="80" w:line="360" w:lineRule="auto"/>
        <w:ind w:left="480" w:firstLine="0"/>
      </w:pPr>
      <w:r>
        <w:rPr>
          <w:rFonts w:ascii="Times New Roman" w:hAnsi="Times New Roman" w:eastAsia="宋体"/>
          <w:b w:val="0"/>
          <w:sz w:val="24"/>
        </w:rPr>
        <w:t>— 《特种设备使用管理规则》（TSG 08—2026）</w:t>
      </w:r>
    </w:p>
    <w:p w14:paraId="09133546">
      <w:pPr>
        <w:spacing w:after="80" w:line="360" w:lineRule="auto"/>
        <w:ind w:left="480" w:firstLine="0"/>
      </w:pPr>
      <w:r>
        <w:rPr>
          <w:rFonts w:ascii="Times New Roman" w:hAnsi="Times New Roman" w:eastAsia="宋体"/>
          <w:b w:val="0"/>
          <w:sz w:val="24"/>
        </w:rPr>
        <w:t>— 《特种设备使用单位落实使用安全主体责任监督管理规定》（市场监管总局令第74号）</w:t>
      </w:r>
    </w:p>
    <w:p w14:paraId="08EC54C5">
      <w:pPr>
        <w:spacing w:after="80" w:line="360" w:lineRule="auto"/>
        <w:ind w:left="480" w:firstLine="0"/>
      </w:pPr>
      <w:r>
        <w:rPr>
          <w:rFonts w:ascii="Times New Roman" w:hAnsi="Times New Roman" w:eastAsia="宋体"/>
          <w:b w:val="0"/>
          <w:sz w:val="24"/>
        </w:rPr>
        <w:t>— 《关于进一步做好住宅老旧电梯更新有关工作的通知》（市监特设发〔2025〕52号）</w:t>
      </w:r>
    </w:p>
    <w:p w14:paraId="4E085469">
      <w:pPr>
        <w:spacing w:after="80" w:line="360" w:lineRule="auto"/>
        <w:ind w:left="480" w:firstLine="0"/>
      </w:pPr>
      <w:r>
        <w:rPr>
          <w:rFonts w:ascii="Times New Roman" w:hAnsi="Times New Roman" w:eastAsia="宋体"/>
          <w:b w:val="0"/>
          <w:sz w:val="24"/>
        </w:rPr>
        <w:t>— 《2026年特种设备安全监察工作要点》</w:t>
      </w:r>
    </w:p>
    <w:p w14:paraId="58274B37">
      <w:pPr>
        <w:spacing w:after="80" w:line="360" w:lineRule="auto"/>
        <w:ind w:left="480" w:firstLine="0"/>
      </w:pPr>
      <w:r>
        <w:rPr>
          <w:rFonts w:ascii="Times New Roman" w:hAnsi="Times New Roman" w:eastAsia="宋体"/>
          <w:b w:val="0"/>
          <w:sz w:val="24"/>
        </w:rPr>
        <w:t>— GB/T 24476《电梯、自动扶梯和自动人行道物联网的技术规范》</w:t>
      </w:r>
    </w:p>
    <w:p w14:paraId="72E04745">
      <w:pPr>
        <w:spacing w:after="80" w:line="360" w:lineRule="auto"/>
        <w:ind w:left="480" w:firstLine="0"/>
      </w:pPr>
      <w:r>
        <w:rPr>
          <w:rFonts w:ascii="Times New Roman" w:hAnsi="Times New Roman" w:eastAsia="宋体"/>
          <w:b w:val="0"/>
          <w:sz w:val="24"/>
        </w:rPr>
        <w:t>— GB/T 7588.1《电梯制造与安装安全规范 第1部分：乘客电梯和载货电梯》</w:t>
      </w:r>
    </w:p>
    <w:p w14:paraId="6A8AFB4F">
      <w:pPr>
        <w:spacing w:after="80" w:line="360" w:lineRule="auto"/>
        <w:ind w:left="480" w:firstLine="0"/>
      </w:pPr>
      <w:r>
        <w:rPr>
          <w:rFonts w:ascii="Times New Roman" w:hAnsi="Times New Roman" w:eastAsia="宋体"/>
          <w:b w:val="0"/>
          <w:sz w:val="24"/>
        </w:rPr>
        <w:t>— 各地《最小应急单元建设运行工作细则》及相关建设规范</w:t>
      </w:r>
    </w:p>
    <w:p w14:paraId="6A392232"/>
    <w:p w14:paraId="271FFA03">
      <w:pPr>
        <w:jc w:val="center"/>
      </w:pPr>
      <w:r>
        <w:rPr>
          <w:rFonts w:ascii="Times New Roman" w:hAnsi="Times New Roman" w:eastAsia="楷体"/>
          <w:b w:val="0"/>
          <w:color w:val="808080"/>
          <w:sz w:val="22"/>
        </w:rPr>
        <w:t>— 全文完 —</w:t>
      </w:r>
    </w:p>
    <w:sectPr>
      <w:pgSz w:w="12240" w:h="15840"/>
      <w:pgMar w:top="1417" w:right="1474"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EE35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4256</Words>
  <Characters>4388</Characters>
  <Lines>0</Lines>
  <Paragraphs>0</Paragraphs>
  <TotalTime>35</TotalTime>
  <ScaleCrop>false</ScaleCrop>
  <LinksUpToDate>false</LinksUpToDate>
  <CharactersWithSpaces>4437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alading</cp:lastModifiedBy>
  <dcterms:modified xsi:type="dcterms:W3CDTF">2026-08-09T02:34:00Z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eyJoZGlkIjoiMzQ5YzExODYwZDNmZmIwMWJiNTliOTUxNjIwMjhhNTUiLCJ1c2VySWQiOiIxNzE0NzEwNzkzIn0=</vt:lpwstr>
  </property>
  <property fmtid="{D5CDD505-2E9C-101B-9397-08002B2CF9AE}" pid="3" name="KSOProductBuildVer">
    <vt:lpwstr>2052-12.1.0.26895</vt:lpwstr>
  </property>
  <property fmtid="{D5CDD505-2E9C-101B-9397-08002B2CF9AE}" pid="4" name="ICV">
    <vt:lpwstr>B0ED7292C5984BFA92FE9DD3D861FBED_13</vt:lpwstr>
  </property>
</Properties>
</file>